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6FA84B6" w14:textId="3544B2A8" w:rsidR="009303D9" w:rsidRPr="000652EF" w:rsidRDefault="0032506C" w:rsidP="000652EF">
      <w:pPr>
        <w:pStyle w:val="Title"/>
      </w:pPr>
      <w:r>
        <w:t xml:space="preserve">Optimizing the Configuration of Photovoltaic Plants to </w:t>
      </w:r>
      <w:r w:rsidR="00495341">
        <w:t>Minimize the Need for Storage</w:t>
      </w:r>
      <w:r>
        <w:t xml:space="preserve"> </w:t>
      </w:r>
    </w:p>
    <w:p w14:paraId="26A159E5" w14:textId="6F583093" w:rsidR="00562427" w:rsidRPr="00A00B8D" w:rsidRDefault="00BA2103" w:rsidP="00B540B4">
      <w:pPr>
        <w:pStyle w:val="Subtitle"/>
        <w:numPr>
          <w:ilvl w:val="0"/>
          <w:numId w:val="0"/>
        </w:numPr>
        <w:ind w:start="18pt"/>
      </w:pPr>
      <w:r>
        <w:t>Russell K Jones</w:t>
      </w:r>
      <w:r w:rsidR="00050840" w:rsidRPr="00050840">
        <w:rPr>
          <w:vertAlign w:val="superscript"/>
        </w:rPr>
        <w:t>1</w:t>
      </w:r>
      <w:r w:rsidR="00C262EF" w:rsidRPr="00A00B8D">
        <w:t>,</w:t>
      </w:r>
      <w:r w:rsidR="00050840">
        <w:t xml:space="preserve"> </w:t>
      </w:r>
      <w:r w:rsidRPr="00050840">
        <w:rPr>
          <w:i/>
          <w:iCs/>
        </w:rPr>
        <w:t>Senior Member</w:t>
      </w:r>
      <w:r>
        <w:t xml:space="preserve">, </w:t>
      </w:r>
      <w:r w:rsidR="008D3B3E">
        <w:t xml:space="preserve">and </w:t>
      </w:r>
      <w:r w:rsidR="0032506C">
        <w:t>Sarah Kurtz</w:t>
      </w:r>
      <w:r w:rsidR="00EA7708">
        <w:rPr>
          <w:vertAlign w:val="superscript"/>
        </w:rPr>
        <w:t>2</w:t>
      </w:r>
      <w:r w:rsidR="004B0A04" w:rsidRPr="004B0A04">
        <w:t xml:space="preserve">, </w:t>
      </w:r>
      <w:r w:rsidR="000857EA">
        <w:rPr>
          <w:i/>
          <w:iCs/>
        </w:rPr>
        <w:t>Fellow</w:t>
      </w:r>
    </w:p>
    <w:p w14:paraId="17026BE1" w14:textId="37F7CC80" w:rsidR="00C262EF" w:rsidRPr="000652EF" w:rsidRDefault="00EA7708" w:rsidP="00B540B4">
      <w:pPr>
        <w:pStyle w:val="Subtitle"/>
        <w:numPr>
          <w:ilvl w:val="0"/>
          <w:numId w:val="0"/>
        </w:numPr>
        <w:ind w:start="18pt"/>
      </w:pPr>
      <w:r>
        <w:t>1</w:t>
      </w:r>
      <w:r w:rsidR="008D3B3E">
        <w:t>.</w:t>
      </w:r>
      <w:r w:rsidR="008D3B3E" w:rsidRPr="000652EF">
        <w:t xml:space="preserve"> </w:t>
      </w:r>
      <w:r w:rsidR="00503974" w:rsidRPr="000652EF">
        <w:t xml:space="preserve">Jones Solar Engineering, Manhattan Beach, California, USA; </w:t>
      </w:r>
      <w:r>
        <w:t>2</w:t>
      </w:r>
      <w:r w:rsidR="00503974" w:rsidRPr="000652EF">
        <w:t xml:space="preserve">. </w:t>
      </w:r>
      <w:r w:rsidR="0032506C">
        <w:t>University of California, Merced, California</w:t>
      </w:r>
      <w:r w:rsidR="00EC71D1">
        <w:t>, USA</w:t>
      </w:r>
      <w:r w:rsidR="00503974" w:rsidRPr="000652EF">
        <w:t xml:space="preserve"> </w:t>
      </w:r>
    </w:p>
    <w:p w14:paraId="52F1475E" w14:textId="77777777" w:rsidR="00C262EF" w:rsidRPr="000652EF" w:rsidRDefault="00C262EF" w:rsidP="000652EF">
      <w:pPr>
        <w:pStyle w:val="Subtitle"/>
        <w:sectPr w:rsidR="00C262EF" w:rsidRPr="000652EF" w:rsidSect="001A3B3D">
          <w:headerReference w:type="even" r:id="rId8"/>
          <w:headerReference w:type="default" r:id="rId9"/>
          <w:footerReference w:type="even" r:id="rId10"/>
          <w:footerReference w:type="default" r:id="rId11"/>
          <w:headerReference w:type="first" r:id="rId12"/>
          <w:footerReference w:type="first" r:id="rId13"/>
          <w:pgSz w:w="612pt" w:h="792pt" w:code="1"/>
          <w:pgMar w:top="54pt" w:right="44.65pt" w:bottom="72pt" w:left="44.65pt" w:header="36pt" w:footer="36pt" w:gutter="0pt"/>
          <w:cols w:space="36pt"/>
          <w:titlePg/>
          <w:docGrid w:linePitch="360"/>
        </w:sectPr>
      </w:pPr>
    </w:p>
    <w:p w14:paraId="0D4BB692" w14:textId="77777777" w:rsidR="006347CF" w:rsidRPr="00A356A6" w:rsidRDefault="006347CF" w:rsidP="00CA4392">
      <w:pPr>
        <w:pStyle w:val="Author"/>
        <w:spacing w:before="5pt" w:beforeAutospacing="1"/>
        <w:jc w:val="both"/>
        <w:rPr>
          <w:sz w:val="16"/>
          <w:szCs w:val="16"/>
        </w:rPr>
        <w:sectPr w:rsidR="006347CF" w:rsidRPr="00A356A6" w:rsidSect="00F847A6">
          <w:type w:val="continuous"/>
          <w:pgSz w:w="612pt" w:h="792pt" w:code="1"/>
          <w:pgMar w:top="54pt" w:right="44.65pt" w:bottom="72pt" w:left="44.65pt" w:header="36pt" w:footer="36pt" w:gutter="0pt"/>
          <w:cols w:num="4" w:space="10.80pt"/>
          <w:docGrid w:linePitch="360"/>
        </w:sectPr>
      </w:pPr>
    </w:p>
    <w:p w14:paraId="2CA7B537" w14:textId="322277BC" w:rsidR="004D72B5" w:rsidRPr="00A356A6" w:rsidRDefault="009303D9" w:rsidP="00C262EF">
      <w:pPr>
        <w:pStyle w:val="Abstract"/>
        <w:ind w:firstLine="13.70pt"/>
        <w:rPr>
          <w:i/>
          <w:iCs/>
        </w:rPr>
      </w:pPr>
      <w:r w:rsidRPr="00A356A6">
        <w:rPr>
          <w:i/>
          <w:iCs/>
        </w:rPr>
        <w:t>Abstract</w:t>
      </w:r>
      <w:r w:rsidRPr="00A356A6">
        <w:t>—</w:t>
      </w:r>
      <w:r w:rsidR="00BE09AB">
        <w:t xml:space="preserve">This paper explores the </w:t>
      </w:r>
      <w:r w:rsidR="00733822">
        <w:t xml:space="preserve">application of </w:t>
      </w:r>
      <w:r w:rsidR="00D80EF8">
        <w:t xml:space="preserve">optimizing tilt </w:t>
      </w:r>
      <w:r w:rsidR="00CC6AE3">
        <w:t xml:space="preserve">of photovoltaic (PV) plants </w:t>
      </w:r>
      <w:r w:rsidR="00D80EF8">
        <w:t>as a statewide</w:t>
      </w:r>
      <w:r w:rsidR="00733822">
        <w:t xml:space="preserve"> strategy to</w:t>
      </w:r>
      <w:r w:rsidR="00BE09AB">
        <w:t xml:space="preserve"> best match the California statewide load</w:t>
      </w:r>
      <w:r w:rsidR="00745902">
        <w:t xml:space="preserve"> </w:t>
      </w:r>
      <w:r w:rsidR="00BE09AB">
        <w:t>over the year</w:t>
      </w:r>
      <w:r w:rsidR="00B753FE">
        <w:t xml:space="preserve"> and thus minimize storage requirements for a carbon-free grid. T</w:t>
      </w:r>
      <w:r w:rsidR="00BE09AB">
        <w:t xml:space="preserve">hrough a simple cost model </w:t>
      </w:r>
      <w:r w:rsidR="00B753FE">
        <w:t>and energy balance model</w:t>
      </w:r>
      <w:r w:rsidR="00636B28">
        <w:t xml:space="preserve"> examining PV + storage in isolation,</w:t>
      </w:r>
      <w:r w:rsidR="00B753FE">
        <w:t xml:space="preserve"> we show </w:t>
      </w:r>
      <w:r w:rsidR="00BE09AB">
        <w:t xml:space="preserve">that, even though </w:t>
      </w:r>
      <w:r w:rsidR="00CE0278">
        <w:t>horizontal trackers produce the lowest cost electricity</w:t>
      </w:r>
      <w:r w:rsidR="000857EA">
        <w:t xml:space="preserve"> when</w:t>
      </w:r>
      <w:r w:rsidR="00CE0278">
        <w:t xml:space="preserve"> </w:t>
      </w:r>
      <w:r w:rsidR="00B753FE">
        <w:t>the timing of generation is ignored</w:t>
      </w:r>
      <w:r w:rsidR="00BE09AB">
        <w:t xml:space="preserve">, high-tilt PV plants </w:t>
      </w:r>
      <w:r w:rsidR="00DA0ED7">
        <w:t>ha</w:t>
      </w:r>
      <w:r w:rsidR="00CE0278">
        <w:t>ve</w:t>
      </w:r>
      <w:r w:rsidR="00DA0ED7">
        <w:t xml:space="preserve"> the potential to </w:t>
      </w:r>
      <w:r w:rsidR="00BE09AB">
        <w:t xml:space="preserve">reduce overall system cost substantially </w:t>
      </w:r>
      <w:r w:rsidR="00DA0ED7">
        <w:t>by reducing the required storage capacity</w:t>
      </w:r>
      <w:r w:rsidR="006E09D7">
        <w:t xml:space="preserve"> and </w:t>
      </w:r>
      <w:r w:rsidR="000857EA">
        <w:t xml:space="preserve">by </w:t>
      </w:r>
      <w:r w:rsidR="006E09D7">
        <w:t>better utiliz</w:t>
      </w:r>
      <w:r w:rsidR="000857EA">
        <w:t>ing</w:t>
      </w:r>
      <w:r w:rsidR="006E09D7">
        <w:t xml:space="preserve"> surplus electricity</w:t>
      </w:r>
      <w:r w:rsidR="00BE09AB">
        <w:t xml:space="preserve">. California should </w:t>
      </w:r>
      <w:r w:rsidR="00DA0F7A">
        <w:t xml:space="preserve">consider </w:t>
      </w:r>
      <w:r w:rsidR="00CE0278">
        <w:t>tilt</w:t>
      </w:r>
      <w:r w:rsidR="004A761D">
        <w:t>ed</w:t>
      </w:r>
      <w:r w:rsidR="00CE0278">
        <w:t xml:space="preserve"> PV configurations in capacity expansion planning and consider PV electricity pricing </w:t>
      </w:r>
      <w:r w:rsidR="004A761D">
        <w:t xml:space="preserve">or incentives </w:t>
      </w:r>
      <w:r w:rsidR="00CE0278">
        <w:t xml:space="preserve">that </w:t>
      </w:r>
      <w:r w:rsidR="004A761D">
        <w:t xml:space="preserve">encourage new PV installations that better match the </w:t>
      </w:r>
      <w:r w:rsidR="006E09D7">
        <w:t xml:space="preserve">seasonal </w:t>
      </w:r>
      <w:r w:rsidR="004A761D">
        <w:t>load to reduce storage requirements</w:t>
      </w:r>
      <w:r w:rsidR="00BE09AB">
        <w:t>.</w:t>
      </w:r>
    </w:p>
    <w:p w14:paraId="38DFBEF8" w14:textId="55270D07" w:rsidR="009303D9" w:rsidRPr="00A356A6" w:rsidRDefault="004D72B5" w:rsidP="00972203">
      <w:pPr>
        <w:pStyle w:val="Keywords"/>
      </w:pPr>
      <w:r w:rsidRPr="00A356A6">
        <w:t>Keywords—</w:t>
      </w:r>
      <w:r w:rsidR="00C57A65">
        <w:t xml:space="preserve">photovoltaic, </w:t>
      </w:r>
      <w:r w:rsidR="007369F5">
        <w:t>capacity planning</w:t>
      </w:r>
      <w:r w:rsidR="00C57A65">
        <w:t xml:space="preserve">, </w:t>
      </w:r>
      <w:r w:rsidR="007369F5">
        <w:t>storage, tilt</w:t>
      </w:r>
    </w:p>
    <w:p w14:paraId="7AAE0E93" w14:textId="38A87E05" w:rsidR="009303D9" w:rsidRPr="00D15D54" w:rsidRDefault="009303D9" w:rsidP="000652EF">
      <w:pPr>
        <w:pStyle w:val="Heading1"/>
      </w:pPr>
      <w:r w:rsidRPr="000652EF">
        <w:t>Introduction</w:t>
      </w:r>
    </w:p>
    <w:p w14:paraId="1D27D2C1" w14:textId="113BC279" w:rsidR="00AD74E1" w:rsidRDefault="00AD74E1" w:rsidP="000652EF">
      <w:r>
        <w:t>The need for action globally to address human-driven climate change is urgent. The State of California is an international leader in implementing measures to encourage clean technology and decarbonize its grid, with a legally mandated 100% carbon-free electric grid by 2045</w:t>
      </w:r>
      <w:r w:rsidR="00252A71">
        <w:t>[</w:t>
      </w:r>
      <w:r w:rsidR="005E2AC1">
        <w:t>1</w:t>
      </w:r>
      <w:r w:rsidR="00252A71">
        <w:t>]</w:t>
      </w:r>
      <w:r>
        <w:t xml:space="preserve">. </w:t>
      </w:r>
      <w:r w:rsidR="003C0B8A">
        <w:t xml:space="preserve">The California </w:t>
      </w:r>
      <w:proofErr w:type="gramStart"/>
      <w:r w:rsidR="003C0B8A">
        <w:t>mandate in particular, and</w:t>
      </w:r>
      <w:proofErr w:type="gramEnd"/>
      <w:r w:rsidR="003C0B8A">
        <w:t xml:space="preserve"> more generally the worldwide recognition of the urgent need and emerging realistic prospect of decarbonizing electricity production, have spurred widespread research on the approaches and economics in recent years. Early work for the case of California has shown that, for its expected heavily solar-dominated future grid, the most challenging period </w:t>
      </w:r>
      <w:r w:rsidR="0020225B">
        <w:t xml:space="preserve">for meeting the demanded load </w:t>
      </w:r>
      <w:r w:rsidR="003C0B8A">
        <w:t>is in the winter months when solar</w:t>
      </w:r>
      <w:r w:rsidR="000857EA">
        <w:t xml:space="preserve"> and wind</w:t>
      </w:r>
      <w:r w:rsidR="003C0B8A">
        <w:t xml:space="preserve"> energy </w:t>
      </w:r>
      <w:r w:rsidR="000857EA">
        <w:t xml:space="preserve">are </w:t>
      </w:r>
      <w:r w:rsidR="003C0B8A">
        <w:t>comparatively scarce[</w:t>
      </w:r>
      <w:r w:rsidR="005E2AC1">
        <w:t>2</w:t>
      </w:r>
      <w:r w:rsidR="003B3E0A">
        <w:t>][</w:t>
      </w:r>
      <w:r w:rsidR="002D7680">
        <w:t>3</w:t>
      </w:r>
      <w:r w:rsidR="003C0B8A">
        <w:t>].</w:t>
      </w:r>
    </w:p>
    <w:p w14:paraId="49AC07DD" w14:textId="77777777" w:rsidR="00CC6AE3" w:rsidRDefault="00FC7591" w:rsidP="000652EF">
      <w:r>
        <w:t xml:space="preserve">Photovoltaics </w:t>
      </w:r>
      <w:r w:rsidR="00196F97">
        <w:t xml:space="preserve">(PV) </w:t>
      </w:r>
      <w:r>
        <w:t xml:space="preserve">has emerged over the last decade as a major source for new electricity generation and has now become the cheapest option for new </w:t>
      </w:r>
      <w:r w:rsidR="006C4268">
        <w:t xml:space="preserve">daytime </w:t>
      </w:r>
      <w:r>
        <w:t xml:space="preserve">generation in much of the world. </w:t>
      </w:r>
      <w:r w:rsidR="00196F97">
        <w:t xml:space="preserve">The rapid growth in utility-scale PV has been mostly in the form of systems with 1-axis zero tilt (horizontal) trackers. These systems have added cost compared to fixed orientation mounting, but the additional cost is more than offset by increased energy yield on an annual basis. </w:t>
      </w:r>
    </w:p>
    <w:p w14:paraId="4A15A577" w14:textId="5080C2BB" w:rsidR="00196F97" w:rsidRDefault="00CC6AE3" w:rsidP="000652EF">
      <w:r>
        <w:t xml:space="preserve">The annual generation profile of PV plants can be shaped by choice of the orientation of modules. To first order, modules tilted southward at the latitude angle relative to horizontal (“latitude-tilt”) maximize annual generation by minimizing the overall cosine loss imposed by the sun’s elevation change through the year. Greater tilt increases winter generation at the </w:t>
      </w:r>
      <w:r>
        <w:t>expense of summer generation, and conversely, a tilt less than the latitude angle favors summer over winter generation.</w:t>
      </w:r>
      <w:r w:rsidR="00196F97">
        <w:t xml:space="preserve"> </w:t>
      </w:r>
      <w:r>
        <w:t xml:space="preserve">Today’s </w:t>
      </w:r>
      <w:r w:rsidR="00196F97">
        <w:t xml:space="preserve">commercial trackers </w:t>
      </w:r>
      <w:r w:rsidR="00B753FE">
        <w:t xml:space="preserve">with horizontal orientation </w:t>
      </w:r>
      <w:r w:rsidR="00196F97">
        <w:t xml:space="preserve">sacrifice some winter </w:t>
      </w:r>
      <w:r w:rsidR="00DA0F7A">
        <w:t xml:space="preserve">electricity </w:t>
      </w:r>
      <w:r w:rsidR="00196F97">
        <w:t xml:space="preserve">generation through simple cosine loss </w:t>
      </w:r>
      <w:r w:rsidR="00DA0F7A">
        <w:t>to favor</w:t>
      </w:r>
      <w:r w:rsidR="00196F97">
        <w:t xml:space="preserve"> </w:t>
      </w:r>
      <w:r w:rsidR="00DA0F7A">
        <w:t xml:space="preserve">electricity </w:t>
      </w:r>
      <w:r w:rsidR="00196F97">
        <w:t xml:space="preserve">generation through the summer months </w:t>
      </w:r>
      <w:r w:rsidR="00DA0F7A">
        <w:t>when the</w:t>
      </w:r>
      <w:r w:rsidR="00CE0F14">
        <w:t xml:space="preserve"> grid </w:t>
      </w:r>
      <w:r w:rsidR="00DA0F7A">
        <w:t>needs the generation most</w:t>
      </w:r>
      <w:r w:rsidR="00CE0F14">
        <w:t xml:space="preserve"> due to summer air conditioning loads. Thus, the summer-dominated generation of 1-axis zero tilt tracking PV systems has until now been viewed as a benefit, but in a future grid with resource adequacy most challenged in the winter, the cost/benefit trade-off may be revisited.</w:t>
      </w:r>
    </w:p>
    <w:p w14:paraId="4418CAE5" w14:textId="3CA063AA" w:rsidR="003C0B8A" w:rsidRDefault="00FC7591" w:rsidP="000652EF">
      <w:r>
        <w:t>Before th</w:t>
      </w:r>
      <w:r w:rsidR="00CE0F14">
        <w:t>e emergence of cost-competitive PV at the utility scale</w:t>
      </w:r>
      <w:r>
        <w:t>, PV served niche markets, and particularly in situations requiring power in remote areas where a diesel generator was impractical. Stand-alone PV systems with batteries have been in use since at least the 1970s to serve remote load</w:t>
      </w:r>
      <w:r w:rsidR="00A1462B">
        <w:t>s</w:t>
      </w:r>
      <w:r>
        <w:t>, for example in telecommunication applications[</w:t>
      </w:r>
      <w:r w:rsidR="0066499D">
        <w:t>4</w:t>
      </w:r>
      <w:r w:rsidR="003B3E0A">
        <w:t>][</w:t>
      </w:r>
      <w:r w:rsidR="002D7680">
        <w:t>5</w:t>
      </w:r>
      <w:r>
        <w:t>].</w:t>
      </w:r>
      <w:r w:rsidR="005E2AC1">
        <w:t xml:space="preserve"> </w:t>
      </w:r>
      <w:r w:rsidR="007167FC">
        <w:t>As a result</w:t>
      </w:r>
      <w:r w:rsidR="0020225B">
        <w:t>,</w:t>
      </w:r>
      <w:r w:rsidR="005E2AC1">
        <w:t xml:space="preserve"> there is a body of practical experience designing systems that must operate without fossil fuel backup. Might there be any lessons from this long experience that can inform the transition to a fossil-free electricity system on a global scale?</w:t>
      </w:r>
      <w:r w:rsidR="00B22654">
        <w:t xml:space="preserve"> </w:t>
      </w:r>
    </w:p>
    <w:p w14:paraId="29258CDB" w14:textId="59F72A73" w:rsidR="00424D6C" w:rsidRDefault="00424D6C" w:rsidP="00424D6C">
      <w:r>
        <w:t>One key design practice for stand-alone PV-battery systems is to examine the annual patterns of both the load to be served and the available solar resource and choose the orientation of the PV modules to generate as much power as possible during the periods where the load to solar resource ratio is highest[</w:t>
      </w:r>
      <w:r w:rsidR="002D7680">
        <w:t>6</w:t>
      </w:r>
      <w:r>
        <w:t>]. In the era before widespread access to computers, the National Renewable Energy Laboratory (NREL) produced a handbook called the “Redbook” that provided monthly solar resource estimates around the United States as a function of the type of collector (flat plate versus concentrator) and orientation (tracking versus stationary, and tilt axis angle)[</w:t>
      </w:r>
      <w:r w:rsidR="002D7680">
        <w:t>7</w:t>
      </w:r>
      <w:r>
        <w:t>]. The data provided in the Redbook enabled quick and reasonably optimized solar array sizing for stand-alone systems. Indeed, there is an IEEE standard for sizing of stand-alone PV systems[</w:t>
      </w:r>
      <w:r w:rsidR="002D7680">
        <w:t>8</w:t>
      </w:r>
      <w:r>
        <w:t>] that describes this procedure, and still references the NREL Redbook in its 2021 revision.</w:t>
      </w:r>
    </w:p>
    <w:p w14:paraId="2CBD0EF9" w14:textId="77777777" w:rsidR="00045844" w:rsidRDefault="00424D6C" w:rsidP="00F2466E">
      <w:r>
        <w:t xml:space="preserve">For stand-alone PV-battery systems with relatively constant loads (e.g., remote telecommunications equipment), the design process generally identifies winter as the challenging case and recommends PV module orientation optimized for winter generation. In practice, this means an elevation tilt angle of </w:t>
      </w:r>
      <w:r>
        <w:rPr>
          <w:rFonts w:hint="eastAsia"/>
        </w:rPr>
        <w:t>~</w:t>
      </w:r>
      <w:r>
        <w:t xml:space="preserve">latitude+15°, which maximizes solar generation well throughout the winter, matching the sun elevation at noon roughly on October 30 and February 8, and with a cosine loss of </w:t>
      </w:r>
      <w:r>
        <w:lastRenderedPageBreak/>
        <w:t xml:space="preserve">only ~1.1% of the direct irradiance on the ~December 21 winter solstice (in practice the total loss is less than 1.1% because some of the irradiance is diffuse). Tilt at latitude ± 15° has long been recognized as good design for PV systems optimized for generation in the winter or summer and are included in the Redbook tables for this reason. </w:t>
      </w:r>
    </w:p>
    <w:p w14:paraId="58FBF917" w14:textId="38FF145D" w:rsidR="00F2466E" w:rsidRDefault="00F2466E" w:rsidP="00F2466E">
      <w:r>
        <w:t>In this paper, a shorthand convention is employed to refer to PV configurations consistent with the Redbook tables, as follows:</w:t>
      </w:r>
    </w:p>
    <w:p w14:paraId="558FC085" w14:textId="77777777" w:rsidR="00F2466E" w:rsidRDefault="00F2466E" w:rsidP="00F2466E">
      <w:pPr>
        <w:pStyle w:val="ListParagraph"/>
        <w:numPr>
          <w:ilvl w:val="0"/>
          <w:numId w:val="31"/>
        </w:numPr>
        <w:ind w:start="31.50pt"/>
      </w:pPr>
      <w:r>
        <w:t>Tr0: 1-axis tracking zero tilt (horizontal axis)</w:t>
      </w:r>
    </w:p>
    <w:p w14:paraId="06D98E01" w14:textId="77777777" w:rsidR="00F2466E" w:rsidRDefault="00F2466E" w:rsidP="00F2466E">
      <w:pPr>
        <w:pStyle w:val="ListParagraph"/>
        <w:numPr>
          <w:ilvl w:val="0"/>
          <w:numId w:val="31"/>
        </w:numPr>
        <w:ind w:start="31.50pt"/>
      </w:pPr>
      <w:r>
        <w:t>TrL–15: 1-axis tracking summer tilt (latitude–15°)</w:t>
      </w:r>
    </w:p>
    <w:p w14:paraId="63296E1D" w14:textId="77777777" w:rsidR="00F2466E" w:rsidRDefault="00F2466E" w:rsidP="00F2466E">
      <w:pPr>
        <w:pStyle w:val="ListParagraph"/>
        <w:numPr>
          <w:ilvl w:val="0"/>
          <w:numId w:val="31"/>
        </w:numPr>
        <w:ind w:start="31.50pt"/>
      </w:pPr>
      <w:r>
        <w:t>TrL: 1-axis tracking latitude tilt</w:t>
      </w:r>
    </w:p>
    <w:p w14:paraId="47723FC0" w14:textId="77777777" w:rsidR="00F2466E" w:rsidRDefault="00F2466E" w:rsidP="00F2466E">
      <w:pPr>
        <w:pStyle w:val="ListParagraph"/>
        <w:numPr>
          <w:ilvl w:val="0"/>
          <w:numId w:val="31"/>
        </w:numPr>
        <w:ind w:start="31.50pt"/>
      </w:pPr>
      <w:r>
        <w:t>TrL+15: 1-axis tracking winter tilt (latitude+15°)</w:t>
      </w:r>
    </w:p>
    <w:p w14:paraId="05049433" w14:textId="77777777" w:rsidR="00F2466E" w:rsidRDefault="00F2466E" w:rsidP="00F2466E">
      <w:pPr>
        <w:pStyle w:val="ListParagraph"/>
        <w:numPr>
          <w:ilvl w:val="0"/>
          <w:numId w:val="31"/>
        </w:numPr>
        <w:ind w:start="31.50pt"/>
      </w:pPr>
      <w:r>
        <w:t>FxL–15: fixed south-facing summer tilt (latitude–15°)</w:t>
      </w:r>
    </w:p>
    <w:p w14:paraId="1BB62E23" w14:textId="77777777" w:rsidR="00F2466E" w:rsidRDefault="00F2466E" w:rsidP="00F2466E">
      <w:pPr>
        <w:pStyle w:val="ListParagraph"/>
        <w:numPr>
          <w:ilvl w:val="0"/>
          <w:numId w:val="31"/>
        </w:numPr>
        <w:ind w:start="31.50pt"/>
      </w:pPr>
      <w:r>
        <w:t>FxL: fixed south-facing latitude tilt</w:t>
      </w:r>
    </w:p>
    <w:p w14:paraId="3714C4BD" w14:textId="77777777" w:rsidR="00F2466E" w:rsidRDefault="00F2466E" w:rsidP="00F2466E">
      <w:pPr>
        <w:pStyle w:val="ListParagraph"/>
        <w:numPr>
          <w:ilvl w:val="0"/>
          <w:numId w:val="31"/>
        </w:numPr>
        <w:ind w:start="31.50pt"/>
      </w:pPr>
      <w:r>
        <w:t>FxL+15: fixed south-facing winter tilt (latitude+15°)</w:t>
      </w:r>
    </w:p>
    <w:p w14:paraId="6E6878D3" w14:textId="4F79014B" w:rsidR="00E06173" w:rsidRDefault="00E06173" w:rsidP="00E06173">
      <w:r>
        <w:t xml:space="preserve">Many other authors are performing detailed studies that explore the design choices for a future carbon-free grid. To date, those studies have not explicitly considered the effect of PV configuration choices on the resulting imposed storage (or “clean firm power”) requirements. Thus, we anticipate that a study of PV orientation and resulting storage demand could be useful to those more comprehensive models by pointing to a lower cost carbon-free solution. </w:t>
      </w:r>
    </w:p>
    <w:p w14:paraId="2F7BAD3F" w14:textId="702CE796" w:rsidR="004A761D" w:rsidRDefault="004A761D" w:rsidP="000652EF">
      <w:r>
        <w:t>To</w:t>
      </w:r>
      <w:r w:rsidR="00E06173">
        <w:t xml:space="preserve"> address this opportunity and to</w:t>
      </w:r>
      <w:r>
        <w:t xml:space="preserve"> </w:t>
      </w:r>
      <w:r w:rsidR="00424D6C">
        <w:t xml:space="preserve">see how </w:t>
      </w:r>
      <w:r w:rsidR="00E06173">
        <w:t xml:space="preserve">the prior </w:t>
      </w:r>
      <w:r w:rsidR="00424D6C">
        <w:t xml:space="preserve">industry experience might apply to the </w:t>
      </w:r>
      <w:r w:rsidR="000A2A58">
        <w:t>future carbon-free grid</w:t>
      </w:r>
      <w:r>
        <w:t>, we examine the interrelationships between PV orientation (configuration), PV plant capacity, PV capital cost, and storage required to serve the load, considering PV and storage in isolation from other influences (e.g., other generation technologies, imports, exports, or transmission constraints).</w:t>
      </w:r>
      <w:r w:rsidR="000A06E1">
        <w:t xml:space="preserve"> </w:t>
      </w:r>
      <w:r w:rsidR="00A1462B">
        <w:t xml:space="preserve">We consider the </w:t>
      </w:r>
      <w:r w:rsidR="000A06E1">
        <w:t>potential for reduction in required</w:t>
      </w:r>
      <w:r w:rsidR="00E06173">
        <w:t xml:space="preserve"> seasonal</w:t>
      </w:r>
      <w:r w:rsidR="000A06E1">
        <w:t xml:space="preserve"> storage that can be achieved from a given amount of perfectly dispatchable energy from another source, as well as the availability and practicality of excess PV energy that may be put to other uses.</w:t>
      </w:r>
    </w:p>
    <w:p w14:paraId="2408098A" w14:textId="77777777" w:rsidR="00254A57" w:rsidRDefault="00254A57" w:rsidP="00254A57">
      <w:pPr>
        <w:pStyle w:val="Heading1"/>
      </w:pPr>
      <w:r>
        <w:t>Survey of Current Modeling Practice</w:t>
      </w:r>
    </w:p>
    <w:p w14:paraId="1D0493CF" w14:textId="17D64F5B" w:rsidR="00E227F0" w:rsidRDefault="00254A57" w:rsidP="00385923">
      <w:pPr>
        <w:pStyle w:val="BodyText"/>
        <w:rPr>
          <w:lang w:val="en-US"/>
        </w:rPr>
      </w:pPr>
      <w:r>
        <w:rPr>
          <w:lang w:val="en-US"/>
        </w:rPr>
        <w:t xml:space="preserve">A survey of recent publications regarding capacity planning studies along with their assumptions about the configuration of solar collectors is shown in Table </w:t>
      </w:r>
      <w:r w:rsidR="00FE7D37">
        <w:rPr>
          <w:lang w:val="en-US"/>
        </w:rPr>
        <w:t>I</w:t>
      </w:r>
      <w:r>
        <w:rPr>
          <w:lang w:val="en-US"/>
        </w:rPr>
        <w:t xml:space="preserve"> and shows that </w:t>
      </w:r>
      <w:r w:rsidR="00385923">
        <w:rPr>
          <w:lang w:val="en-US"/>
        </w:rPr>
        <w:t>none of them have considered the orientation of PV collectors as a capacity planning variable. M</w:t>
      </w:r>
      <w:r w:rsidR="00DD3CAE">
        <w:rPr>
          <w:lang w:val="en-US"/>
        </w:rPr>
        <w:t>any</w:t>
      </w:r>
      <w:r>
        <w:rPr>
          <w:lang w:val="en-US"/>
        </w:rPr>
        <w:t xml:space="preserve"> models consider only one orientation for all </w:t>
      </w:r>
      <w:r w:rsidR="00385923">
        <w:rPr>
          <w:lang w:val="en-US"/>
        </w:rPr>
        <w:t xml:space="preserve">utility-scale </w:t>
      </w:r>
      <w:r>
        <w:rPr>
          <w:lang w:val="en-US"/>
        </w:rPr>
        <w:t xml:space="preserve">solar installations, typically Tr0. This is no doubt because Tr0 systems are the dominant configuration in large-scale utility PV plants today.  </w:t>
      </w:r>
    </w:p>
    <w:p w14:paraId="5AE93CFB" w14:textId="5114B13E" w:rsidR="00254A57" w:rsidRDefault="00254A57" w:rsidP="00254A57">
      <w:pPr>
        <w:pStyle w:val="BodyText"/>
        <w:rPr>
          <w:lang w:val="en-US"/>
        </w:rPr>
      </w:pPr>
      <w:r>
        <w:rPr>
          <w:lang w:val="en-US"/>
        </w:rPr>
        <w:t xml:space="preserve">Some of the models have different orientations assumed for utility-scale PV plants versus residential and commercial installations. Results from these studies do not explore the impact of changing PV orientation exactly because other factors such as the installed cost </w:t>
      </w:r>
      <w:r w:rsidR="00045844">
        <w:rPr>
          <w:lang w:val="en-US"/>
        </w:rPr>
        <w:t xml:space="preserve">or accessible capacity constraints </w:t>
      </w:r>
      <w:r>
        <w:rPr>
          <w:lang w:val="en-US"/>
        </w:rPr>
        <w:t>differ significantly between utility-scale and small-scale systems.</w:t>
      </w:r>
    </w:p>
    <w:p w14:paraId="3CFEF0B6" w14:textId="77777777" w:rsidR="00906BB5" w:rsidRDefault="00906BB5" w:rsidP="00906BB5">
      <w:pPr>
        <w:pStyle w:val="BodyText"/>
        <w:rPr>
          <w:lang w:val="en-US"/>
        </w:rPr>
      </w:pPr>
      <w:r>
        <w:rPr>
          <w:lang w:val="en-US"/>
        </w:rPr>
        <w:t xml:space="preserve">None of these capacity planning studies cited from the literature have addressed the potential of changing the collector orientation as a means of reducing storage demand at all, but instead explore alternative approaches to minimize cost. For example, Frew[17] considered </w:t>
      </w:r>
      <w:r w:rsidRPr="000553C5">
        <w:rPr>
          <w:lang w:val="en-US"/>
        </w:rPr>
        <w:t xml:space="preserve">cost-benefits of geographic </w:t>
      </w:r>
      <w:r w:rsidRPr="000553C5">
        <w:rPr>
          <w:lang w:val="en-US"/>
        </w:rPr>
        <w:t>aggregation, renewable overgeneration, storage, and flexible electric vehicle</w:t>
      </w:r>
      <w:r>
        <w:rPr>
          <w:lang w:val="en-US"/>
        </w:rPr>
        <w:t xml:space="preserve"> as sources of flexibility in a renewable grid. The study by Cole et.al.[7] extensively considered sensitivity analyses of 23 different parameters in 100% renewable energy scenarios but differing PV generation profiles via orientation changes was not considered. This study uses the NREL Regional Energy Deployment System (ReEDS) model[12] and shows a deficiency of solar generation in winter as the main driver for firm generation capacity. In this and other studies, the cost of storage is the biggest driver in 100% renewable energy scenarios, and some firm generation capacity greatly reduces overall cost to satisfy the last few percent of the load. </w:t>
      </w:r>
    </w:p>
    <w:p w14:paraId="46BBAC52" w14:textId="2E1DFB64" w:rsidR="00254A57" w:rsidRPr="002B40E0" w:rsidRDefault="00254A57" w:rsidP="00C26B4A">
      <w:pPr>
        <w:pStyle w:val="BodyText"/>
        <w:tabs>
          <w:tab w:val="clear" w:pos="14.40pt"/>
        </w:tabs>
        <w:ind w:firstLine="0pt"/>
        <w:jc w:val="center"/>
        <w:rPr>
          <w:smallCaps/>
          <w:sz w:val="16"/>
          <w:szCs w:val="16"/>
          <w:lang w:val="en-US"/>
        </w:rPr>
      </w:pPr>
      <w:r w:rsidRPr="002B40E0">
        <w:rPr>
          <w:smallCaps/>
          <w:sz w:val="16"/>
          <w:szCs w:val="16"/>
          <w:lang w:val="en-US"/>
        </w:rPr>
        <w:t>Table I. Treatment of solar tilt orientation in capacity planning models</w:t>
      </w:r>
    </w:p>
    <w:tbl>
      <w:tblPr>
        <w:tblStyle w:val="TableGrid"/>
        <w:tblW w:w="0pt" w:type="dxa"/>
        <w:jc w:val="center"/>
        <w:tblLook w:firstRow="1" w:lastRow="0" w:firstColumn="1" w:lastColumn="0" w:noHBand="0" w:noVBand="1"/>
      </w:tblPr>
      <w:tblGrid>
        <w:gridCol w:w="1042"/>
        <w:gridCol w:w="2667"/>
        <w:gridCol w:w="1314"/>
      </w:tblGrid>
      <w:tr w:rsidR="00254A57" w:rsidRPr="00AD6FDD" w14:paraId="79E5FEE2" w14:textId="77777777" w:rsidTr="002F1D1B">
        <w:trPr>
          <w:jc w:val="center"/>
        </w:trPr>
        <w:tc>
          <w:tcPr>
            <w:tcW w:w="52.10pt" w:type="dxa"/>
            <w:shd w:val="clear" w:color="auto" w:fill="E7E6E6" w:themeFill="background2"/>
          </w:tcPr>
          <w:p w14:paraId="28CE98A9" w14:textId="77777777" w:rsidR="00254A57" w:rsidRPr="00AD6FDD" w:rsidRDefault="00254A57" w:rsidP="002F1D1B">
            <w:pPr>
              <w:pStyle w:val="BodyText"/>
              <w:tabs>
                <w:tab w:val="clear" w:pos="14.40pt"/>
              </w:tabs>
              <w:spacing w:after="0pt"/>
              <w:ind w:firstLine="0pt"/>
              <w:jc w:val="start"/>
              <w:rPr>
                <w:rFonts w:asciiTheme="minorBidi" w:hAnsiTheme="minorBidi" w:cstheme="minorBidi"/>
                <w:b/>
                <w:bCs/>
                <w:sz w:val="16"/>
                <w:szCs w:val="16"/>
                <w:lang w:val="en-US"/>
              </w:rPr>
            </w:pPr>
            <w:r w:rsidRPr="00AD6FDD">
              <w:rPr>
                <w:rFonts w:asciiTheme="minorBidi" w:hAnsiTheme="minorBidi" w:cstheme="minorBidi"/>
                <w:b/>
                <w:bCs/>
                <w:sz w:val="16"/>
                <w:szCs w:val="16"/>
                <w:lang w:val="en-US"/>
              </w:rPr>
              <w:t>Lead author</w:t>
            </w:r>
          </w:p>
        </w:tc>
        <w:tc>
          <w:tcPr>
            <w:tcW w:w="133.35pt" w:type="dxa"/>
            <w:shd w:val="clear" w:color="auto" w:fill="E7E6E6" w:themeFill="background2"/>
          </w:tcPr>
          <w:p w14:paraId="18C36131" w14:textId="77777777" w:rsidR="00254A57" w:rsidRPr="00AD6FDD" w:rsidRDefault="00254A57" w:rsidP="002F1D1B">
            <w:pPr>
              <w:pStyle w:val="BodyText"/>
              <w:tabs>
                <w:tab w:val="clear" w:pos="14.40pt"/>
              </w:tabs>
              <w:spacing w:after="0pt"/>
              <w:ind w:firstLine="0pt"/>
              <w:jc w:val="start"/>
              <w:rPr>
                <w:rFonts w:asciiTheme="minorBidi" w:hAnsiTheme="minorBidi" w:cstheme="minorBidi"/>
                <w:b/>
                <w:bCs/>
                <w:sz w:val="16"/>
                <w:szCs w:val="16"/>
                <w:lang w:val="en-US"/>
              </w:rPr>
            </w:pPr>
            <w:r w:rsidRPr="00AD6FDD">
              <w:rPr>
                <w:rFonts w:asciiTheme="minorBidi" w:hAnsiTheme="minorBidi" w:cstheme="minorBidi"/>
                <w:b/>
                <w:bCs/>
                <w:sz w:val="16"/>
                <w:szCs w:val="16"/>
                <w:lang w:val="en-US"/>
              </w:rPr>
              <w:t>Model name or description</w:t>
            </w:r>
          </w:p>
        </w:tc>
        <w:tc>
          <w:tcPr>
            <w:tcW w:w="65.70pt" w:type="dxa"/>
            <w:shd w:val="clear" w:color="auto" w:fill="E7E6E6" w:themeFill="background2"/>
          </w:tcPr>
          <w:p w14:paraId="1A744774" w14:textId="77777777" w:rsidR="00254A57" w:rsidRPr="00AD6FDD" w:rsidRDefault="00254A57" w:rsidP="002F1D1B">
            <w:pPr>
              <w:pStyle w:val="BodyText"/>
              <w:tabs>
                <w:tab w:val="clear" w:pos="14.40pt"/>
              </w:tabs>
              <w:spacing w:after="0pt"/>
              <w:ind w:firstLine="0pt"/>
              <w:jc w:val="start"/>
              <w:rPr>
                <w:rFonts w:asciiTheme="minorBidi" w:hAnsiTheme="minorBidi" w:cstheme="minorBidi"/>
                <w:b/>
                <w:bCs/>
                <w:sz w:val="16"/>
                <w:szCs w:val="16"/>
                <w:lang w:val="en-US"/>
              </w:rPr>
            </w:pPr>
            <w:r w:rsidRPr="00AD6FDD">
              <w:rPr>
                <w:rFonts w:asciiTheme="minorBidi" w:hAnsiTheme="minorBidi" w:cstheme="minorBidi"/>
                <w:b/>
                <w:bCs/>
                <w:sz w:val="16"/>
                <w:szCs w:val="16"/>
                <w:lang w:val="en-US"/>
              </w:rPr>
              <w:t>Solar collector orientation</w:t>
            </w:r>
          </w:p>
        </w:tc>
      </w:tr>
      <w:tr w:rsidR="00254A57" w:rsidRPr="002B40E0" w14:paraId="1984E5A1" w14:textId="77777777" w:rsidTr="002F1D1B">
        <w:trPr>
          <w:jc w:val="center"/>
        </w:trPr>
        <w:tc>
          <w:tcPr>
            <w:tcW w:w="52.10pt" w:type="dxa"/>
          </w:tcPr>
          <w:p w14:paraId="07702AD4"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E3 Consulting</w:t>
            </w:r>
          </w:p>
          <w:p w14:paraId="7527AAE7" w14:textId="0AA7BE55"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2B40E0">
              <w:rPr>
                <w:rFonts w:asciiTheme="minorBidi" w:hAnsiTheme="minorBidi" w:cstheme="minorBidi"/>
                <w:sz w:val="16"/>
                <w:szCs w:val="16"/>
                <w:lang w:val="en-US"/>
              </w:rPr>
              <w:t>[</w:t>
            </w:r>
            <w:r w:rsidR="0016260C">
              <w:rPr>
                <w:rFonts w:asciiTheme="minorBidi" w:hAnsiTheme="minorBidi" w:cstheme="minorBidi"/>
                <w:sz w:val="16"/>
                <w:szCs w:val="16"/>
                <w:lang w:val="en-US"/>
              </w:rPr>
              <w:t>9</w:t>
            </w:r>
            <w:r w:rsidRPr="002B40E0">
              <w:rPr>
                <w:rFonts w:asciiTheme="minorBidi" w:hAnsiTheme="minorBidi" w:cstheme="minorBidi"/>
                <w:sz w:val="16"/>
                <w:szCs w:val="16"/>
                <w:lang w:val="en-US"/>
              </w:rPr>
              <w:t>]</w:t>
            </w:r>
          </w:p>
        </w:tc>
        <w:tc>
          <w:tcPr>
            <w:tcW w:w="133.35pt" w:type="dxa"/>
          </w:tcPr>
          <w:p w14:paraId="0DD46059"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2B40E0">
              <w:rPr>
                <w:rFonts w:asciiTheme="minorBidi" w:hAnsiTheme="minorBidi" w:cstheme="minorBidi"/>
                <w:sz w:val="16"/>
                <w:szCs w:val="16"/>
                <w:lang w:val="en-US"/>
              </w:rPr>
              <w:t>RESOLVE linear optimization optimal capacity expansion and dispatch model</w:t>
            </w:r>
          </w:p>
        </w:tc>
        <w:tc>
          <w:tcPr>
            <w:tcW w:w="65.70pt" w:type="dxa"/>
          </w:tcPr>
          <w:p w14:paraId="2780F6B2"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 xml:space="preserve">Utility: </w:t>
            </w:r>
            <w:r w:rsidRPr="002B40E0">
              <w:rPr>
                <w:rFonts w:asciiTheme="minorBidi" w:hAnsiTheme="minorBidi" w:cstheme="minorBidi"/>
                <w:sz w:val="16"/>
                <w:szCs w:val="16"/>
                <w:lang w:val="en-US"/>
              </w:rPr>
              <w:t>Tr0</w:t>
            </w:r>
            <w:r>
              <w:rPr>
                <w:rFonts w:asciiTheme="minorBidi" w:hAnsiTheme="minorBidi" w:cstheme="minorBidi"/>
                <w:sz w:val="16"/>
                <w:szCs w:val="16"/>
                <w:lang w:val="en-US"/>
              </w:rPr>
              <w:t>; distributed: existing mix</w:t>
            </w:r>
            <w:r w:rsidRPr="002B40E0">
              <w:rPr>
                <w:rFonts w:asciiTheme="minorBidi" w:hAnsiTheme="minorBidi" w:cstheme="minorBidi"/>
                <w:sz w:val="16"/>
                <w:szCs w:val="16"/>
                <w:lang w:val="en-US"/>
              </w:rPr>
              <w:t xml:space="preserve"> </w:t>
            </w:r>
          </w:p>
        </w:tc>
      </w:tr>
      <w:tr w:rsidR="00254A57" w:rsidRPr="002B40E0" w14:paraId="63E107E5" w14:textId="77777777" w:rsidTr="002F1D1B">
        <w:trPr>
          <w:jc w:val="center"/>
        </w:trPr>
        <w:tc>
          <w:tcPr>
            <w:tcW w:w="52.10pt" w:type="dxa"/>
          </w:tcPr>
          <w:p w14:paraId="1A6A1899"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Hidalgo-Gonzalez</w:t>
            </w:r>
          </w:p>
          <w:p w14:paraId="733E6784" w14:textId="73A8E795"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2B40E0">
              <w:rPr>
                <w:rFonts w:asciiTheme="minorBidi" w:hAnsiTheme="minorBidi" w:cstheme="minorBidi"/>
                <w:sz w:val="16"/>
                <w:szCs w:val="16"/>
                <w:lang w:val="en-US"/>
              </w:rPr>
              <w:t>[</w:t>
            </w:r>
            <w:r w:rsidR="0016260C">
              <w:rPr>
                <w:rFonts w:asciiTheme="minorBidi" w:hAnsiTheme="minorBidi" w:cstheme="minorBidi"/>
                <w:sz w:val="16"/>
                <w:szCs w:val="16"/>
                <w:lang w:val="en-US"/>
              </w:rPr>
              <w:t>10</w:t>
            </w:r>
            <w:r w:rsidRPr="002B40E0">
              <w:rPr>
                <w:rFonts w:asciiTheme="minorBidi" w:hAnsiTheme="minorBidi" w:cstheme="minorBidi"/>
                <w:sz w:val="16"/>
                <w:szCs w:val="16"/>
                <w:lang w:val="en-US"/>
              </w:rPr>
              <w:t>]</w:t>
            </w:r>
          </w:p>
        </w:tc>
        <w:tc>
          <w:tcPr>
            <w:tcW w:w="133.35pt" w:type="dxa"/>
          </w:tcPr>
          <w:p w14:paraId="3C162D29"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2B40E0">
              <w:rPr>
                <w:rFonts w:asciiTheme="minorBidi" w:hAnsiTheme="minorBidi" w:cstheme="minorBidi"/>
                <w:sz w:val="16"/>
                <w:szCs w:val="16"/>
                <w:lang w:val="en-US"/>
              </w:rPr>
              <w:t>SWITCH linear optimization optimal capacity expansion and dispatch model</w:t>
            </w:r>
          </w:p>
        </w:tc>
        <w:tc>
          <w:tcPr>
            <w:tcW w:w="65.70pt" w:type="dxa"/>
          </w:tcPr>
          <w:p w14:paraId="39CF61A0"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U</w:t>
            </w:r>
            <w:r w:rsidRPr="005E1D2C">
              <w:rPr>
                <w:rFonts w:asciiTheme="minorBidi" w:hAnsiTheme="minorBidi" w:cstheme="minorBidi"/>
                <w:sz w:val="16"/>
                <w:szCs w:val="16"/>
                <w:lang w:val="en-US"/>
              </w:rPr>
              <w:t>tility:20° tilt single-axis tracking</w:t>
            </w:r>
            <w:r>
              <w:rPr>
                <w:rFonts w:asciiTheme="minorBidi" w:hAnsiTheme="minorBidi" w:cstheme="minorBidi"/>
                <w:sz w:val="16"/>
                <w:szCs w:val="16"/>
                <w:lang w:val="en-US"/>
              </w:rPr>
              <w:t>; distributed:</w:t>
            </w:r>
            <w:r w:rsidRPr="005E1D2C">
              <w:rPr>
                <w:rFonts w:asciiTheme="minorBidi" w:hAnsiTheme="minorBidi" w:cstheme="minorBidi"/>
                <w:sz w:val="16"/>
                <w:szCs w:val="16"/>
                <w:lang w:val="en-US"/>
              </w:rPr>
              <w:t xml:space="preserve"> </w:t>
            </w:r>
            <w:r w:rsidRPr="002B40E0">
              <w:rPr>
                <w:rFonts w:asciiTheme="minorBidi" w:hAnsiTheme="minorBidi" w:cstheme="minorBidi"/>
                <w:sz w:val="16"/>
                <w:szCs w:val="16"/>
                <w:lang w:val="en-US"/>
              </w:rPr>
              <w:t>FxL</w:t>
            </w:r>
          </w:p>
        </w:tc>
      </w:tr>
      <w:tr w:rsidR="00254A57" w:rsidRPr="002B40E0" w14:paraId="5940BDB3" w14:textId="77777777" w:rsidTr="002F1D1B">
        <w:trPr>
          <w:jc w:val="center"/>
        </w:trPr>
        <w:tc>
          <w:tcPr>
            <w:tcW w:w="52.10pt" w:type="dxa"/>
          </w:tcPr>
          <w:p w14:paraId="4AF8D50D"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2B40E0">
              <w:rPr>
                <w:rFonts w:asciiTheme="minorBidi" w:hAnsiTheme="minorBidi" w:cstheme="minorBidi"/>
                <w:sz w:val="16"/>
                <w:szCs w:val="16"/>
                <w:lang w:val="en-US"/>
              </w:rPr>
              <w:t>Abido[3]</w:t>
            </w:r>
          </w:p>
        </w:tc>
        <w:tc>
          <w:tcPr>
            <w:tcW w:w="133.35pt" w:type="dxa"/>
          </w:tcPr>
          <w:p w14:paraId="47122D09"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2B40E0">
              <w:rPr>
                <w:rFonts w:asciiTheme="minorBidi" w:hAnsiTheme="minorBidi" w:cstheme="minorBidi"/>
                <w:sz w:val="16"/>
                <w:szCs w:val="16"/>
                <w:lang w:val="en-US"/>
              </w:rPr>
              <w:t>Statewide energy balance model</w:t>
            </w:r>
          </w:p>
        </w:tc>
        <w:tc>
          <w:tcPr>
            <w:tcW w:w="65.70pt" w:type="dxa"/>
          </w:tcPr>
          <w:p w14:paraId="1F569FE4"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2B40E0">
              <w:rPr>
                <w:rFonts w:asciiTheme="minorBidi" w:hAnsiTheme="minorBidi" w:cstheme="minorBidi"/>
                <w:sz w:val="16"/>
                <w:szCs w:val="16"/>
                <w:lang w:val="en-US"/>
              </w:rPr>
              <w:t>Existing mix</w:t>
            </w:r>
          </w:p>
        </w:tc>
      </w:tr>
      <w:tr w:rsidR="00254A57" w:rsidRPr="002B40E0" w14:paraId="6FDD3A39" w14:textId="77777777" w:rsidTr="002F1D1B">
        <w:trPr>
          <w:jc w:val="center"/>
        </w:trPr>
        <w:tc>
          <w:tcPr>
            <w:tcW w:w="52.10pt" w:type="dxa"/>
          </w:tcPr>
          <w:p w14:paraId="23BA6DFF" w14:textId="6D5A6A83"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2B40E0">
              <w:rPr>
                <w:rFonts w:asciiTheme="minorBidi" w:hAnsiTheme="minorBidi" w:cstheme="minorBidi"/>
                <w:sz w:val="16"/>
                <w:szCs w:val="16"/>
                <w:lang w:val="en-US"/>
              </w:rPr>
              <w:t>Mai[</w:t>
            </w:r>
            <w:r w:rsidR="0016260C">
              <w:rPr>
                <w:rFonts w:asciiTheme="minorBidi" w:hAnsiTheme="minorBidi" w:cstheme="minorBidi"/>
                <w:sz w:val="16"/>
                <w:szCs w:val="16"/>
                <w:lang w:val="en-US"/>
              </w:rPr>
              <w:t>11</w:t>
            </w:r>
            <w:r w:rsidRPr="002B40E0">
              <w:rPr>
                <w:rFonts w:asciiTheme="minorBidi" w:hAnsiTheme="minorBidi" w:cstheme="minorBidi"/>
                <w:sz w:val="16"/>
                <w:szCs w:val="16"/>
                <w:lang w:val="en-US"/>
              </w:rPr>
              <w:t>]</w:t>
            </w:r>
          </w:p>
        </w:tc>
        <w:tc>
          <w:tcPr>
            <w:tcW w:w="133.35pt" w:type="dxa"/>
          </w:tcPr>
          <w:p w14:paraId="421A8DAD"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2B40E0">
              <w:rPr>
                <w:rFonts w:asciiTheme="minorBidi" w:hAnsiTheme="minorBidi" w:cstheme="minorBidi"/>
                <w:sz w:val="16"/>
                <w:szCs w:val="16"/>
                <w:lang w:val="en-US"/>
              </w:rPr>
              <w:t>NREL Resource Planning Model</w:t>
            </w:r>
          </w:p>
        </w:tc>
        <w:tc>
          <w:tcPr>
            <w:tcW w:w="65.70pt" w:type="dxa"/>
          </w:tcPr>
          <w:p w14:paraId="0FBA0EFA"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 xml:space="preserve">Utility: </w:t>
            </w:r>
            <w:r w:rsidRPr="002B40E0">
              <w:rPr>
                <w:rFonts w:asciiTheme="minorBidi" w:hAnsiTheme="minorBidi" w:cstheme="minorBidi"/>
                <w:sz w:val="16"/>
                <w:szCs w:val="16"/>
                <w:lang w:val="en-US"/>
              </w:rPr>
              <w:t>Tr0</w:t>
            </w:r>
            <w:r>
              <w:rPr>
                <w:rFonts w:asciiTheme="minorBidi" w:hAnsiTheme="minorBidi" w:cstheme="minorBidi"/>
                <w:sz w:val="16"/>
                <w:szCs w:val="16"/>
                <w:lang w:val="en-US"/>
              </w:rPr>
              <w:t xml:space="preserve">; distributed: </w:t>
            </w:r>
            <w:r w:rsidRPr="002B40E0">
              <w:rPr>
                <w:rFonts w:asciiTheme="minorBidi" w:hAnsiTheme="minorBidi" w:cstheme="minorBidi"/>
                <w:sz w:val="16"/>
                <w:szCs w:val="16"/>
                <w:lang w:val="en-US"/>
              </w:rPr>
              <w:t>fixed 25° tilt</w:t>
            </w:r>
          </w:p>
        </w:tc>
      </w:tr>
      <w:tr w:rsidR="00254A57" w:rsidRPr="002B40E0" w14:paraId="1DB6A5C0" w14:textId="77777777" w:rsidTr="002F1D1B">
        <w:trPr>
          <w:jc w:val="center"/>
        </w:trPr>
        <w:tc>
          <w:tcPr>
            <w:tcW w:w="52.10pt" w:type="dxa"/>
          </w:tcPr>
          <w:p w14:paraId="150F9FC2" w14:textId="1D6348D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2B40E0">
              <w:rPr>
                <w:rFonts w:asciiTheme="minorBidi" w:hAnsiTheme="minorBidi" w:cstheme="minorBidi"/>
                <w:sz w:val="16"/>
                <w:szCs w:val="16"/>
                <w:lang w:val="en-US"/>
              </w:rPr>
              <w:t>Ho[</w:t>
            </w:r>
            <w:r w:rsidR="0016260C">
              <w:rPr>
                <w:rFonts w:asciiTheme="minorBidi" w:hAnsiTheme="minorBidi" w:cstheme="minorBidi"/>
                <w:sz w:val="16"/>
                <w:szCs w:val="16"/>
                <w:lang w:val="en-US"/>
              </w:rPr>
              <w:t>12</w:t>
            </w:r>
            <w:r w:rsidRPr="002B40E0">
              <w:rPr>
                <w:rFonts w:asciiTheme="minorBidi" w:hAnsiTheme="minorBidi" w:cstheme="minorBidi"/>
                <w:sz w:val="16"/>
                <w:szCs w:val="16"/>
                <w:lang w:val="en-US"/>
              </w:rPr>
              <w:t>]</w:t>
            </w:r>
          </w:p>
        </w:tc>
        <w:tc>
          <w:tcPr>
            <w:tcW w:w="133.35pt" w:type="dxa"/>
          </w:tcPr>
          <w:p w14:paraId="1370A37B"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2B40E0">
              <w:rPr>
                <w:rFonts w:asciiTheme="minorBidi" w:hAnsiTheme="minorBidi" w:cstheme="minorBidi"/>
                <w:sz w:val="16"/>
                <w:szCs w:val="16"/>
                <w:lang w:val="en-US"/>
              </w:rPr>
              <w:t>Regional Energy Deployment System (ReEDS) Model</w:t>
            </w:r>
          </w:p>
        </w:tc>
        <w:tc>
          <w:tcPr>
            <w:tcW w:w="65.70pt" w:type="dxa"/>
          </w:tcPr>
          <w:p w14:paraId="633C5C87"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 xml:space="preserve">Utility: </w:t>
            </w:r>
            <w:r w:rsidRPr="002B40E0">
              <w:rPr>
                <w:rFonts w:asciiTheme="minorBidi" w:hAnsiTheme="minorBidi" w:cstheme="minorBidi"/>
                <w:sz w:val="16"/>
                <w:szCs w:val="16"/>
                <w:lang w:val="en-US"/>
              </w:rPr>
              <w:t>Tr0</w:t>
            </w:r>
            <w:r>
              <w:rPr>
                <w:rFonts w:asciiTheme="minorBidi" w:hAnsiTheme="minorBidi" w:cstheme="minorBidi"/>
                <w:sz w:val="16"/>
                <w:szCs w:val="16"/>
                <w:lang w:val="en-US"/>
              </w:rPr>
              <w:t>; distributed: FxL</w:t>
            </w:r>
            <w:r w:rsidRPr="002B40E0">
              <w:rPr>
                <w:rFonts w:asciiTheme="minorBidi" w:hAnsiTheme="minorBidi" w:cstheme="minorBidi"/>
                <w:sz w:val="16"/>
                <w:szCs w:val="16"/>
                <w:lang w:val="en-US"/>
              </w:rPr>
              <w:t xml:space="preserve"> </w:t>
            </w:r>
          </w:p>
        </w:tc>
      </w:tr>
      <w:tr w:rsidR="00254A57" w:rsidRPr="002B40E0" w14:paraId="4A8C75C1" w14:textId="77777777" w:rsidTr="002F1D1B">
        <w:trPr>
          <w:jc w:val="center"/>
        </w:trPr>
        <w:tc>
          <w:tcPr>
            <w:tcW w:w="52.10pt" w:type="dxa"/>
          </w:tcPr>
          <w:p w14:paraId="03017026" w14:textId="3BC06600"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Sun[</w:t>
            </w:r>
            <w:r w:rsidR="0016260C">
              <w:rPr>
                <w:rFonts w:asciiTheme="minorBidi" w:hAnsiTheme="minorBidi" w:cstheme="minorBidi"/>
                <w:sz w:val="16"/>
                <w:szCs w:val="16"/>
                <w:lang w:val="en-US"/>
              </w:rPr>
              <w:t>13</w:t>
            </w:r>
            <w:r>
              <w:rPr>
                <w:rFonts w:asciiTheme="minorBidi" w:hAnsiTheme="minorBidi" w:cstheme="minorBidi"/>
                <w:sz w:val="16"/>
                <w:szCs w:val="16"/>
                <w:lang w:val="en-US"/>
              </w:rPr>
              <w:t>]</w:t>
            </w:r>
          </w:p>
        </w:tc>
        <w:tc>
          <w:tcPr>
            <w:tcW w:w="133.35pt" w:type="dxa"/>
          </w:tcPr>
          <w:p w14:paraId="69381A86"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Electrification Futures Study (uses ReEDS)</w:t>
            </w:r>
          </w:p>
        </w:tc>
        <w:tc>
          <w:tcPr>
            <w:tcW w:w="65.70pt" w:type="dxa"/>
          </w:tcPr>
          <w:p w14:paraId="285E73C8"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 xml:space="preserve">Utility: </w:t>
            </w:r>
            <w:r w:rsidRPr="002B40E0">
              <w:rPr>
                <w:rFonts w:asciiTheme="minorBidi" w:hAnsiTheme="minorBidi" w:cstheme="minorBidi"/>
                <w:sz w:val="16"/>
                <w:szCs w:val="16"/>
                <w:lang w:val="en-US"/>
              </w:rPr>
              <w:t>Tr0</w:t>
            </w:r>
            <w:r>
              <w:rPr>
                <w:rFonts w:asciiTheme="minorBidi" w:hAnsiTheme="minorBidi" w:cstheme="minorBidi"/>
                <w:sz w:val="16"/>
                <w:szCs w:val="16"/>
                <w:lang w:val="en-US"/>
              </w:rPr>
              <w:t>; distributed: FxL</w:t>
            </w:r>
            <w:r w:rsidRPr="002B40E0">
              <w:rPr>
                <w:rFonts w:asciiTheme="minorBidi" w:hAnsiTheme="minorBidi" w:cstheme="minorBidi"/>
                <w:sz w:val="16"/>
                <w:szCs w:val="16"/>
                <w:lang w:val="en-US"/>
              </w:rPr>
              <w:t xml:space="preserve"> </w:t>
            </w:r>
          </w:p>
        </w:tc>
      </w:tr>
      <w:tr w:rsidR="00254A57" w:rsidRPr="002B40E0" w14:paraId="0C8E6D60" w14:textId="77777777" w:rsidTr="002F1D1B">
        <w:trPr>
          <w:jc w:val="center"/>
        </w:trPr>
        <w:tc>
          <w:tcPr>
            <w:tcW w:w="52.10pt" w:type="dxa"/>
          </w:tcPr>
          <w:p w14:paraId="098E4C80" w14:textId="2721350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Cole[</w:t>
            </w:r>
            <w:r w:rsidR="0016260C">
              <w:rPr>
                <w:rFonts w:asciiTheme="minorBidi" w:hAnsiTheme="minorBidi" w:cstheme="minorBidi"/>
                <w:sz w:val="16"/>
                <w:szCs w:val="16"/>
                <w:lang w:val="en-US"/>
              </w:rPr>
              <w:t>14</w:t>
            </w:r>
            <w:r>
              <w:rPr>
                <w:rFonts w:asciiTheme="minorBidi" w:hAnsiTheme="minorBidi" w:cstheme="minorBidi"/>
                <w:sz w:val="16"/>
                <w:szCs w:val="16"/>
                <w:lang w:val="en-US"/>
              </w:rPr>
              <w:t>]</w:t>
            </w:r>
          </w:p>
        </w:tc>
        <w:tc>
          <w:tcPr>
            <w:tcW w:w="133.35pt" w:type="dxa"/>
          </w:tcPr>
          <w:p w14:paraId="331986BE"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Study of potential and challenges to reach 100% renewable grid (uses ReEDS)</w:t>
            </w:r>
          </w:p>
        </w:tc>
        <w:tc>
          <w:tcPr>
            <w:tcW w:w="65.70pt" w:type="dxa"/>
          </w:tcPr>
          <w:p w14:paraId="7553025C"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 xml:space="preserve">Utility: </w:t>
            </w:r>
            <w:r w:rsidRPr="002B40E0">
              <w:rPr>
                <w:rFonts w:asciiTheme="minorBidi" w:hAnsiTheme="minorBidi" w:cstheme="minorBidi"/>
                <w:sz w:val="16"/>
                <w:szCs w:val="16"/>
                <w:lang w:val="en-US"/>
              </w:rPr>
              <w:t>Tr0</w:t>
            </w:r>
            <w:r>
              <w:rPr>
                <w:rFonts w:asciiTheme="minorBidi" w:hAnsiTheme="minorBidi" w:cstheme="minorBidi"/>
                <w:sz w:val="16"/>
                <w:szCs w:val="16"/>
                <w:lang w:val="en-US"/>
              </w:rPr>
              <w:t>; distributed: FxL</w:t>
            </w:r>
          </w:p>
        </w:tc>
      </w:tr>
      <w:tr w:rsidR="00254A57" w:rsidRPr="002B40E0" w14:paraId="51A1E823" w14:textId="77777777" w:rsidTr="002F1D1B">
        <w:trPr>
          <w:jc w:val="center"/>
        </w:trPr>
        <w:tc>
          <w:tcPr>
            <w:tcW w:w="52.10pt" w:type="dxa"/>
          </w:tcPr>
          <w:p w14:paraId="4F06A95B" w14:textId="27CFBE9B"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Mills[</w:t>
            </w:r>
            <w:r w:rsidR="0016260C">
              <w:rPr>
                <w:rFonts w:asciiTheme="minorBidi" w:hAnsiTheme="minorBidi" w:cstheme="minorBidi"/>
                <w:sz w:val="16"/>
                <w:szCs w:val="16"/>
                <w:lang w:val="en-US"/>
              </w:rPr>
              <w:t>15</w:t>
            </w:r>
            <w:r>
              <w:rPr>
                <w:rFonts w:asciiTheme="minorBidi" w:hAnsiTheme="minorBidi" w:cstheme="minorBidi"/>
                <w:sz w:val="16"/>
                <w:szCs w:val="16"/>
                <w:lang w:val="en-US"/>
              </w:rPr>
              <w:t>]</w:t>
            </w:r>
          </w:p>
        </w:tc>
        <w:tc>
          <w:tcPr>
            <w:tcW w:w="133.35pt" w:type="dxa"/>
          </w:tcPr>
          <w:p w14:paraId="4D9BEBB6"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Marginal economic valuation of PV capacity versus penetration</w:t>
            </w:r>
          </w:p>
        </w:tc>
        <w:tc>
          <w:tcPr>
            <w:tcW w:w="65.70pt" w:type="dxa"/>
          </w:tcPr>
          <w:p w14:paraId="71AE9548" w14:textId="17607552" w:rsidR="00254A57" w:rsidRPr="002B40E0" w:rsidRDefault="00AA7743"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Unknown</w:t>
            </w:r>
          </w:p>
        </w:tc>
      </w:tr>
      <w:tr w:rsidR="00254A57" w:rsidRPr="002B40E0" w14:paraId="04752C34" w14:textId="77777777" w:rsidTr="002F1D1B">
        <w:trPr>
          <w:jc w:val="center"/>
        </w:trPr>
        <w:tc>
          <w:tcPr>
            <w:tcW w:w="52.10pt" w:type="dxa"/>
          </w:tcPr>
          <w:p w14:paraId="4B535FA8"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Jacobson</w:t>
            </w:r>
          </w:p>
          <w:p w14:paraId="58897ACF" w14:textId="3B63FB4F"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w:t>
            </w:r>
            <w:r w:rsidR="0016260C">
              <w:rPr>
                <w:rFonts w:asciiTheme="minorBidi" w:hAnsiTheme="minorBidi" w:cstheme="minorBidi"/>
                <w:sz w:val="16"/>
                <w:szCs w:val="16"/>
                <w:lang w:val="en-US"/>
              </w:rPr>
              <w:t>16</w:t>
            </w:r>
            <w:r>
              <w:rPr>
                <w:rFonts w:asciiTheme="minorBidi" w:hAnsiTheme="minorBidi" w:cstheme="minorBidi"/>
                <w:sz w:val="16"/>
                <w:szCs w:val="16"/>
                <w:lang w:val="en-US"/>
              </w:rPr>
              <w:t>]</w:t>
            </w:r>
          </w:p>
        </w:tc>
        <w:tc>
          <w:tcPr>
            <w:tcW w:w="133.35pt" w:type="dxa"/>
          </w:tcPr>
          <w:p w14:paraId="2D393BAE"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LOADMATCH grid integration model</w:t>
            </w:r>
          </w:p>
        </w:tc>
        <w:tc>
          <w:tcPr>
            <w:tcW w:w="65.70pt" w:type="dxa"/>
          </w:tcPr>
          <w:p w14:paraId="07B34BF2" w14:textId="5C8E8ABE" w:rsidR="00254A57" w:rsidRPr="002B40E0" w:rsidRDefault="00EB0942"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 xml:space="preserve">Utility: </w:t>
            </w:r>
            <w:r w:rsidR="00254A57">
              <w:rPr>
                <w:rFonts w:asciiTheme="minorBidi" w:hAnsiTheme="minorBidi" w:cstheme="minorBidi"/>
                <w:sz w:val="16"/>
                <w:szCs w:val="16"/>
                <w:lang w:val="en-US"/>
              </w:rPr>
              <w:t xml:space="preserve">Tr0 </w:t>
            </w:r>
            <w:r>
              <w:rPr>
                <w:rFonts w:asciiTheme="minorBidi" w:hAnsiTheme="minorBidi" w:cstheme="minorBidi"/>
                <w:sz w:val="16"/>
                <w:szCs w:val="16"/>
                <w:lang w:val="en-US"/>
              </w:rPr>
              <w:t>and fixed optimized tilt; distributed: optimized tilt</w:t>
            </w:r>
          </w:p>
        </w:tc>
      </w:tr>
      <w:tr w:rsidR="00254A57" w:rsidRPr="002B40E0" w14:paraId="45F58828" w14:textId="77777777" w:rsidTr="002F1D1B">
        <w:trPr>
          <w:jc w:val="center"/>
        </w:trPr>
        <w:tc>
          <w:tcPr>
            <w:tcW w:w="52.10pt" w:type="dxa"/>
          </w:tcPr>
          <w:p w14:paraId="1E2D7D97" w14:textId="18D87736"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Frew[1</w:t>
            </w:r>
            <w:r w:rsidR="0016260C">
              <w:rPr>
                <w:rFonts w:asciiTheme="minorBidi" w:hAnsiTheme="minorBidi" w:cstheme="minorBidi"/>
                <w:sz w:val="16"/>
                <w:szCs w:val="16"/>
                <w:lang w:val="en-US"/>
              </w:rPr>
              <w:t>7</w:t>
            </w:r>
            <w:r>
              <w:rPr>
                <w:rFonts w:asciiTheme="minorBidi" w:hAnsiTheme="minorBidi" w:cstheme="minorBidi"/>
                <w:sz w:val="16"/>
                <w:szCs w:val="16"/>
                <w:lang w:val="en-US"/>
              </w:rPr>
              <w:t>]</w:t>
            </w:r>
          </w:p>
        </w:tc>
        <w:tc>
          <w:tcPr>
            <w:tcW w:w="133.35pt" w:type="dxa"/>
          </w:tcPr>
          <w:p w14:paraId="5237D442"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POWER linear programming model</w:t>
            </w:r>
          </w:p>
        </w:tc>
        <w:tc>
          <w:tcPr>
            <w:tcW w:w="65.70pt" w:type="dxa"/>
          </w:tcPr>
          <w:p w14:paraId="42D6CFFA"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unknown</w:t>
            </w:r>
          </w:p>
        </w:tc>
      </w:tr>
      <w:tr w:rsidR="00254A57" w:rsidRPr="002B40E0" w14:paraId="351324AF" w14:textId="77777777" w:rsidTr="002F1D1B">
        <w:trPr>
          <w:jc w:val="center"/>
        </w:trPr>
        <w:tc>
          <w:tcPr>
            <w:tcW w:w="52.10pt" w:type="dxa"/>
          </w:tcPr>
          <w:p w14:paraId="7775344E" w14:textId="52E94AF1"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Dowling[1</w:t>
            </w:r>
            <w:r w:rsidR="0016260C">
              <w:rPr>
                <w:rFonts w:asciiTheme="minorBidi" w:hAnsiTheme="minorBidi" w:cstheme="minorBidi"/>
                <w:sz w:val="16"/>
                <w:szCs w:val="16"/>
                <w:lang w:val="en-US"/>
              </w:rPr>
              <w:t>8</w:t>
            </w:r>
            <w:r>
              <w:rPr>
                <w:rFonts w:asciiTheme="minorBidi" w:hAnsiTheme="minorBidi" w:cstheme="minorBidi"/>
                <w:sz w:val="16"/>
                <w:szCs w:val="16"/>
                <w:lang w:val="en-US"/>
              </w:rPr>
              <w:t>]</w:t>
            </w:r>
          </w:p>
        </w:tc>
        <w:tc>
          <w:tcPr>
            <w:tcW w:w="133.35pt" w:type="dxa"/>
          </w:tcPr>
          <w:p w14:paraId="66648301"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Macro energy model (MEM) for long duration energy storage</w:t>
            </w:r>
          </w:p>
        </w:tc>
        <w:tc>
          <w:tcPr>
            <w:tcW w:w="65.70pt" w:type="dxa"/>
          </w:tcPr>
          <w:p w14:paraId="3902A225"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Tr0</w:t>
            </w:r>
          </w:p>
        </w:tc>
      </w:tr>
      <w:tr w:rsidR="00254A57" w:rsidRPr="002B40E0" w14:paraId="4F76487C" w14:textId="77777777" w:rsidTr="002F1D1B">
        <w:trPr>
          <w:jc w:val="center"/>
        </w:trPr>
        <w:tc>
          <w:tcPr>
            <w:tcW w:w="52.10pt" w:type="dxa"/>
          </w:tcPr>
          <w:p w14:paraId="3A730CBD" w14:textId="4DC19308"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Baik[1</w:t>
            </w:r>
            <w:r w:rsidR="0016260C">
              <w:rPr>
                <w:rFonts w:asciiTheme="minorBidi" w:hAnsiTheme="minorBidi" w:cstheme="minorBidi"/>
                <w:sz w:val="16"/>
                <w:szCs w:val="16"/>
                <w:lang w:val="en-US"/>
              </w:rPr>
              <w:t>9</w:t>
            </w:r>
            <w:r>
              <w:rPr>
                <w:rFonts w:asciiTheme="minorBidi" w:hAnsiTheme="minorBidi" w:cstheme="minorBidi"/>
                <w:sz w:val="16"/>
                <w:szCs w:val="16"/>
                <w:lang w:val="en-US"/>
              </w:rPr>
              <w:t>]</w:t>
            </w:r>
          </w:p>
        </w:tc>
        <w:tc>
          <w:tcPr>
            <w:tcW w:w="133.35pt" w:type="dxa"/>
          </w:tcPr>
          <w:p w14:paraId="6ABC8D38" w14:textId="01918B97" w:rsidR="00254A57" w:rsidRDefault="00C209E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C</w:t>
            </w:r>
            <w:r w:rsidR="00254A57" w:rsidRPr="007C70B4">
              <w:rPr>
                <w:rFonts w:asciiTheme="minorBidi" w:hAnsiTheme="minorBidi" w:cstheme="minorBidi"/>
                <w:sz w:val="16"/>
                <w:szCs w:val="16"/>
                <w:lang w:val="en-US"/>
              </w:rPr>
              <w:t>apacity expansion and dispatch model, urbs</w:t>
            </w:r>
          </w:p>
        </w:tc>
        <w:tc>
          <w:tcPr>
            <w:tcW w:w="65.70pt" w:type="dxa"/>
          </w:tcPr>
          <w:p w14:paraId="5E828006"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Existing mix (inferred)</w:t>
            </w:r>
          </w:p>
        </w:tc>
      </w:tr>
      <w:tr w:rsidR="00254A57" w:rsidRPr="002B40E0" w14:paraId="02626E11" w14:textId="77777777" w:rsidTr="002F1D1B">
        <w:trPr>
          <w:jc w:val="center"/>
        </w:trPr>
        <w:tc>
          <w:tcPr>
            <w:tcW w:w="52.10pt" w:type="dxa"/>
          </w:tcPr>
          <w:p w14:paraId="07C7A2E1"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AD2CC4">
              <w:rPr>
                <w:rFonts w:asciiTheme="minorBidi" w:hAnsiTheme="minorBidi" w:cstheme="minorBidi"/>
                <w:sz w:val="16"/>
                <w:szCs w:val="16"/>
                <w:lang w:val="en-US"/>
              </w:rPr>
              <w:t>Budischak</w:t>
            </w:r>
          </w:p>
          <w:p w14:paraId="10C03F73" w14:textId="543CE830"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w:t>
            </w:r>
            <w:r w:rsidR="0016260C">
              <w:rPr>
                <w:rFonts w:asciiTheme="minorBidi" w:hAnsiTheme="minorBidi" w:cstheme="minorBidi"/>
                <w:sz w:val="16"/>
                <w:szCs w:val="16"/>
                <w:lang w:val="en-US"/>
              </w:rPr>
              <w:t>20</w:t>
            </w:r>
            <w:r>
              <w:rPr>
                <w:rFonts w:asciiTheme="minorBidi" w:hAnsiTheme="minorBidi" w:cstheme="minorBidi"/>
                <w:sz w:val="16"/>
                <w:szCs w:val="16"/>
                <w:lang w:val="en-US"/>
              </w:rPr>
              <w:t>]</w:t>
            </w:r>
          </w:p>
        </w:tc>
        <w:tc>
          <w:tcPr>
            <w:tcW w:w="133.35pt" w:type="dxa"/>
          </w:tcPr>
          <w:p w14:paraId="3A4ECA9C"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A7093B">
              <w:rPr>
                <w:rFonts w:asciiTheme="minorBidi" w:hAnsiTheme="minorBidi" w:cstheme="minorBidi"/>
                <w:sz w:val="16"/>
                <w:szCs w:val="16"/>
                <w:lang w:val="en-US"/>
              </w:rPr>
              <w:t>Regional Renewable</w:t>
            </w:r>
            <w:r>
              <w:rPr>
                <w:rFonts w:asciiTheme="minorBidi" w:hAnsiTheme="minorBidi" w:cstheme="minorBidi"/>
                <w:sz w:val="16"/>
                <w:szCs w:val="16"/>
                <w:lang w:val="en-US"/>
              </w:rPr>
              <w:t xml:space="preserve"> </w:t>
            </w:r>
            <w:r w:rsidRPr="00A7093B">
              <w:rPr>
                <w:rFonts w:asciiTheme="minorBidi" w:hAnsiTheme="minorBidi" w:cstheme="minorBidi"/>
                <w:sz w:val="16"/>
                <w:szCs w:val="16"/>
                <w:lang w:val="en-US"/>
              </w:rPr>
              <w:t>Electricity Economic Optimization Model (RREEOM)</w:t>
            </w:r>
          </w:p>
        </w:tc>
        <w:tc>
          <w:tcPr>
            <w:tcW w:w="65.70pt" w:type="dxa"/>
          </w:tcPr>
          <w:p w14:paraId="7BBFA679" w14:textId="77777777" w:rsidR="00254A57" w:rsidRPr="002B40E0"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FxL</w:t>
            </w:r>
          </w:p>
        </w:tc>
      </w:tr>
      <w:tr w:rsidR="00254A57" w:rsidRPr="002B40E0" w14:paraId="6C999956" w14:textId="77777777" w:rsidTr="002F1D1B">
        <w:trPr>
          <w:jc w:val="center"/>
        </w:trPr>
        <w:tc>
          <w:tcPr>
            <w:tcW w:w="52.10pt" w:type="dxa"/>
          </w:tcPr>
          <w:p w14:paraId="15252A44" w14:textId="45A4521C" w:rsidR="00254A57" w:rsidRPr="00AD2CC4"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Sepulveda [</w:t>
            </w:r>
            <w:r w:rsidR="0016260C">
              <w:rPr>
                <w:rFonts w:asciiTheme="minorBidi" w:hAnsiTheme="minorBidi" w:cstheme="minorBidi"/>
                <w:sz w:val="16"/>
                <w:szCs w:val="16"/>
                <w:lang w:val="en-US"/>
              </w:rPr>
              <w:t>21</w:t>
            </w:r>
            <w:r>
              <w:rPr>
                <w:rFonts w:asciiTheme="minorBidi" w:hAnsiTheme="minorBidi" w:cstheme="minorBidi"/>
                <w:sz w:val="16"/>
                <w:szCs w:val="16"/>
                <w:lang w:val="en-US"/>
              </w:rPr>
              <w:t>]</w:t>
            </w:r>
          </w:p>
        </w:tc>
        <w:tc>
          <w:tcPr>
            <w:tcW w:w="133.35pt" w:type="dxa"/>
          </w:tcPr>
          <w:p w14:paraId="4DD32D00" w14:textId="77777777" w:rsidR="00254A57" w:rsidRPr="00A7093B" w:rsidRDefault="00254A57" w:rsidP="002F1D1B">
            <w:pPr>
              <w:pStyle w:val="BodyText"/>
              <w:tabs>
                <w:tab w:val="clear" w:pos="14.40pt"/>
              </w:tabs>
              <w:spacing w:after="0pt"/>
              <w:ind w:firstLine="0pt"/>
              <w:jc w:val="start"/>
              <w:rPr>
                <w:rFonts w:asciiTheme="minorBidi" w:hAnsiTheme="minorBidi" w:cstheme="minorBidi"/>
                <w:sz w:val="16"/>
                <w:szCs w:val="16"/>
                <w:lang w:val="en-US"/>
              </w:rPr>
            </w:pPr>
            <w:proofErr w:type="spellStart"/>
            <w:r w:rsidRPr="00533DB7">
              <w:rPr>
                <w:rFonts w:asciiTheme="minorBidi" w:hAnsiTheme="minorBidi" w:cstheme="minorBidi"/>
                <w:sz w:val="16"/>
                <w:szCs w:val="16"/>
                <w:lang w:val="en-US"/>
              </w:rPr>
              <w:t>GenX</w:t>
            </w:r>
            <w:proofErr w:type="spellEnd"/>
            <w:r w:rsidRPr="00533DB7">
              <w:rPr>
                <w:rFonts w:asciiTheme="minorBidi" w:hAnsiTheme="minorBidi" w:cstheme="minorBidi"/>
                <w:sz w:val="16"/>
                <w:szCs w:val="16"/>
                <w:lang w:val="en-US"/>
              </w:rPr>
              <w:t xml:space="preserve"> electric power system investment and</w:t>
            </w:r>
            <w:r>
              <w:rPr>
                <w:rFonts w:asciiTheme="minorBidi" w:hAnsiTheme="minorBidi" w:cstheme="minorBidi"/>
                <w:sz w:val="16"/>
                <w:szCs w:val="16"/>
                <w:lang w:val="en-US"/>
              </w:rPr>
              <w:t xml:space="preserve"> </w:t>
            </w:r>
            <w:r w:rsidRPr="00533DB7">
              <w:rPr>
                <w:rFonts w:asciiTheme="minorBidi" w:hAnsiTheme="minorBidi" w:cstheme="minorBidi"/>
                <w:sz w:val="16"/>
                <w:szCs w:val="16"/>
                <w:lang w:val="en-US"/>
              </w:rPr>
              <w:t>operations model</w:t>
            </w:r>
          </w:p>
        </w:tc>
        <w:tc>
          <w:tcPr>
            <w:tcW w:w="65.70pt" w:type="dxa"/>
          </w:tcPr>
          <w:p w14:paraId="39722F9E"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FxL</w:t>
            </w:r>
          </w:p>
        </w:tc>
      </w:tr>
      <w:tr w:rsidR="00254A57" w:rsidRPr="002B40E0" w14:paraId="41EC80DA" w14:textId="77777777" w:rsidTr="002F1D1B">
        <w:trPr>
          <w:jc w:val="center"/>
        </w:trPr>
        <w:tc>
          <w:tcPr>
            <w:tcW w:w="52.10pt" w:type="dxa"/>
          </w:tcPr>
          <w:p w14:paraId="5B9C6962" w14:textId="17060615"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Ziegler[</w:t>
            </w:r>
            <w:r w:rsidR="0016260C">
              <w:rPr>
                <w:rFonts w:asciiTheme="minorBidi" w:hAnsiTheme="minorBidi" w:cstheme="minorBidi"/>
                <w:sz w:val="16"/>
                <w:szCs w:val="16"/>
                <w:lang w:val="en-US"/>
              </w:rPr>
              <w:t>22</w:t>
            </w:r>
            <w:r>
              <w:rPr>
                <w:rFonts w:asciiTheme="minorBidi" w:hAnsiTheme="minorBidi" w:cstheme="minorBidi"/>
                <w:sz w:val="16"/>
                <w:szCs w:val="16"/>
                <w:lang w:val="en-US"/>
              </w:rPr>
              <w:t>]</w:t>
            </w:r>
          </w:p>
        </w:tc>
        <w:tc>
          <w:tcPr>
            <w:tcW w:w="133.35pt" w:type="dxa"/>
          </w:tcPr>
          <w:p w14:paraId="1A83B93C" w14:textId="77777777" w:rsidR="00254A57" w:rsidRPr="00533DB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Optimization of wind-solar-storage mix for minimum cost of electricity</w:t>
            </w:r>
          </w:p>
        </w:tc>
        <w:tc>
          <w:tcPr>
            <w:tcW w:w="65.70pt" w:type="dxa"/>
          </w:tcPr>
          <w:p w14:paraId="4A65E419"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TrL</w:t>
            </w:r>
          </w:p>
        </w:tc>
      </w:tr>
      <w:tr w:rsidR="00254A57" w:rsidRPr="002B40E0" w14:paraId="28CBF786" w14:textId="77777777" w:rsidTr="002F1D1B">
        <w:trPr>
          <w:jc w:val="center"/>
        </w:trPr>
        <w:tc>
          <w:tcPr>
            <w:tcW w:w="52.10pt" w:type="dxa"/>
          </w:tcPr>
          <w:p w14:paraId="29180902" w14:textId="522427C3"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Mileva[</w:t>
            </w:r>
            <w:r w:rsidR="0016260C">
              <w:rPr>
                <w:rFonts w:asciiTheme="minorBidi" w:hAnsiTheme="minorBidi" w:cstheme="minorBidi"/>
                <w:sz w:val="16"/>
                <w:szCs w:val="16"/>
                <w:lang w:val="en-US"/>
              </w:rPr>
              <w:t>23</w:t>
            </w:r>
            <w:r>
              <w:rPr>
                <w:rFonts w:asciiTheme="minorBidi" w:hAnsiTheme="minorBidi" w:cstheme="minorBidi"/>
                <w:sz w:val="16"/>
                <w:szCs w:val="16"/>
                <w:lang w:val="en-US"/>
              </w:rPr>
              <w:t>]</w:t>
            </w:r>
          </w:p>
        </w:tc>
        <w:tc>
          <w:tcPr>
            <w:tcW w:w="133.35pt" w:type="dxa"/>
          </w:tcPr>
          <w:p w14:paraId="1A1E5517"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sidRPr="002B40E0">
              <w:rPr>
                <w:rFonts w:asciiTheme="minorBidi" w:hAnsiTheme="minorBidi" w:cstheme="minorBidi"/>
                <w:sz w:val="16"/>
                <w:szCs w:val="16"/>
                <w:lang w:val="en-US"/>
              </w:rPr>
              <w:t>SWITCH linear optimization optimal capacity expansion and dispatch model</w:t>
            </w:r>
          </w:p>
        </w:tc>
        <w:tc>
          <w:tcPr>
            <w:tcW w:w="65.70pt" w:type="dxa"/>
          </w:tcPr>
          <w:p w14:paraId="18B31226" w14:textId="77777777" w:rsidR="00254A57" w:rsidRDefault="00254A57"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u</w:t>
            </w:r>
            <w:r w:rsidRPr="005E1D2C">
              <w:rPr>
                <w:rFonts w:asciiTheme="minorBidi" w:hAnsiTheme="minorBidi" w:cstheme="minorBidi"/>
                <w:sz w:val="16"/>
                <w:szCs w:val="16"/>
                <w:lang w:val="en-US"/>
              </w:rPr>
              <w:t>tility:</w:t>
            </w:r>
            <w:r>
              <w:rPr>
                <w:rFonts w:asciiTheme="minorBidi" w:hAnsiTheme="minorBidi" w:cstheme="minorBidi"/>
                <w:sz w:val="16"/>
                <w:szCs w:val="16"/>
                <w:lang w:val="en-US"/>
              </w:rPr>
              <w:t xml:space="preserve"> TrL; distributed:</w:t>
            </w:r>
            <w:r w:rsidRPr="005E1D2C">
              <w:rPr>
                <w:rFonts w:asciiTheme="minorBidi" w:hAnsiTheme="minorBidi" w:cstheme="minorBidi"/>
                <w:sz w:val="16"/>
                <w:szCs w:val="16"/>
                <w:lang w:val="en-US"/>
              </w:rPr>
              <w:t xml:space="preserve"> </w:t>
            </w:r>
            <w:r w:rsidRPr="002B40E0">
              <w:rPr>
                <w:rFonts w:asciiTheme="minorBidi" w:hAnsiTheme="minorBidi" w:cstheme="minorBidi"/>
                <w:sz w:val="16"/>
                <w:szCs w:val="16"/>
                <w:lang w:val="en-US"/>
              </w:rPr>
              <w:t>FxL</w:t>
            </w:r>
          </w:p>
        </w:tc>
      </w:tr>
      <w:tr w:rsidR="00C209E7" w:rsidRPr="002B40E0" w14:paraId="7B65AFF1" w14:textId="77777777" w:rsidTr="002F1D1B">
        <w:trPr>
          <w:jc w:val="center"/>
        </w:trPr>
        <w:tc>
          <w:tcPr>
            <w:tcW w:w="52.10pt" w:type="dxa"/>
          </w:tcPr>
          <w:p w14:paraId="0D937CC2" w14:textId="7DF80023" w:rsidR="00C209E7" w:rsidRPr="009B1259" w:rsidRDefault="009B1259"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Breyer[24]</w:t>
            </w:r>
          </w:p>
        </w:tc>
        <w:tc>
          <w:tcPr>
            <w:tcW w:w="133.35pt" w:type="dxa"/>
          </w:tcPr>
          <w:p w14:paraId="6E25CC2E" w14:textId="6C62B5FE" w:rsidR="00C209E7" w:rsidRPr="002B40E0" w:rsidRDefault="009B1259" w:rsidP="002F1D1B">
            <w:pPr>
              <w:pStyle w:val="BodyText"/>
              <w:tabs>
                <w:tab w:val="clear" w:pos="14.40pt"/>
              </w:tabs>
              <w:spacing w:after="0pt"/>
              <w:ind w:firstLine="0pt"/>
              <w:jc w:val="start"/>
              <w:rPr>
                <w:rFonts w:asciiTheme="minorBidi" w:hAnsiTheme="minorBidi" w:cstheme="minorBidi"/>
                <w:sz w:val="16"/>
                <w:szCs w:val="16"/>
                <w:lang w:val="en-US"/>
              </w:rPr>
            </w:pPr>
            <w:r w:rsidRPr="009B1259">
              <w:rPr>
                <w:rFonts w:asciiTheme="minorBidi" w:hAnsiTheme="minorBidi" w:cstheme="minorBidi"/>
                <w:sz w:val="16"/>
                <w:szCs w:val="16"/>
                <w:lang w:val="en-US"/>
              </w:rPr>
              <w:t>LUT Energy system model</w:t>
            </w:r>
            <w:r w:rsidR="00DD3CAE">
              <w:rPr>
                <w:rFonts w:asciiTheme="minorBidi" w:hAnsiTheme="minorBidi" w:cstheme="minorBidi"/>
                <w:sz w:val="16"/>
                <w:szCs w:val="16"/>
                <w:lang w:val="en-US"/>
              </w:rPr>
              <w:t>, linear optimization</w:t>
            </w:r>
          </w:p>
        </w:tc>
        <w:tc>
          <w:tcPr>
            <w:tcW w:w="65.70pt" w:type="dxa"/>
          </w:tcPr>
          <w:p w14:paraId="3B16F945" w14:textId="6205B0A5" w:rsidR="00C209E7" w:rsidRDefault="0052542C" w:rsidP="002F1D1B">
            <w:pPr>
              <w:pStyle w:val="BodyText"/>
              <w:tabs>
                <w:tab w:val="clear" w:pos="14.40pt"/>
              </w:tabs>
              <w:spacing w:after="0pt"/>
              <w:ind w:firstLine="0pt"/>
              <w:jc w:val="start"/>
              <w:rPr>
                <w:rFonts w:asciiTheme="minorBidi" w:hAnsiTheme="minorBidi" w:cstheme="minorBidi"/>
                <w:sz w:val="16"/>
                <w:szCs w:val="16"/>
                <w:lang w:val="en-US"/>
              </w:rPr>
            </w:pPr>
            <w:r>
              <w:rPr>
                <w:rFonts w:asciiTheme="minorBidi" w:hAnsiTheme="minorBidi" w:cstheme="minorBidi"/>
                <w:sz w:val="16"/>
                <w:szCs w:val="16"/>
                <w:lang w:val="en-US"/>
              </w:rPr>
              <w:t>Tr0 and fixed optimal tilt</w:t>
            </w:r>
          </w:p>
        </w:tc>
      </w:tr>
    </w:tbl>
    <w:p w14:paraId="33E3A09A" w14:textId="77777777" w:rsidR="00254A57" w:rsidRDefault="00254A57" w:rsidP="00254A57">
      <w:pPr>
        <w:pStyle w:val="BodyText"/>
        <w:tabs>
          <w:tab w:val="clear" w:pos="14.40pt"/>
        </w:tabs>
        <w:ind w:firstLine="0pt"/>
        <w:rPr>
          <w:lang w:val="en-US"/>
        </w:rPr>
      </w:pPr>
    </w:p>
    <w:p w14:paraId="2EA17AC6" w14:textId="77777777" w:rsidR="00B9309F" w:rsidRDefault="00B9309F" w:rsidP="00B9309F">
      <w:pPr>
        <w:pStyle w:val="BodyText"/>
        <w:rPr>
          <w:lang w:val="en-US"/>
        </w:rPr>
      </w:pPr>
      <w:r>
        <w:rPr>
          <w:lang w:val="en-US"/>
        </w:rPr>
        <w:t>Mills[15] showed that the overall economic value of adding PV to the grid declines as penetration grows, to almost zero above about 30% penetration, because the variability of solar generation (of which seasonal variation is a major part) results in diminishing displacement of firm generation capacity. Sepulveda[21] also shows that firm generation capacity needs are driven by periods of low variable renewable resource availability.</w:t>
      </w:r>
    </w:p>
    <w:p w14:paraId="03EFCB8F" w14:textId="579469FD" w:rsidR="00B9309F" w:rsidRDefault="00906BB5" w:rsidP="00B9309F">
      <w:pPr>
        <w:pStyle w:val="BodyText"/>
        <w:rPr>
          <w:lang w:val="en-US"/>
        </w:rPr>
      </w:pPr>
      <w:r>
        <w:rPr>
          <w:noProof/>
        </w:rPr>
        <w:lastRenderedPageBreak/>
        <w:drawing>
          <wp:anchor distT="0" distB="0" distL="114300" distR="114300" simplePos="0" relativeHeight="251654656" behindDoc="0" locked="0" layoutInCell="1" allowOverlap="1" wp14:anchorId="272A4FCA" wp14:editId="6623F9D2">
            <wp:simplePos x="0" y="0"/>
            <wp:positionH relativeFrom="column">
              <wp:posOffset>3517265</wp:posOffset>
            </wp:positionH>
            <wp:positionV relativeFrom="paragraph">
              <wp:posOffset>74295</wp:posOffset>
            </wp:positionV>
            <wp:extent cx="2944495" cy="2712720"/>
            <wp:effectExtent l="0" t="0" r="0" b="0"/>
            <wp:wrapSquare wrapText="bothSides"/>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4495" cy="2712720"/>
                    </a:xfrm>
                    <a:prstGeom prst="rect">
                      <a:avLst/>
                    </a:prstGeom>
                    <a:noFill/>
                  </pic:spPr>
                </pic:pic>
              </a:graphicData>
            </a:graphic>
            <wp14:sizeRelH relativeFrom="page">
              <wp14:pctWidth>0%</wp14:pctWidth>
            </wp14:sizeRelH>
            <wp14:sizeRelV relativeFrom="page">
              <wp14:pctHeight>0%</wp14:pctHeight>
            </wp14:sizeRelV>
          </wp:anchor>
        </w:drawing>
      </w:r>
      <w:r w:rsidR="00B9309F">
        <w:rPr>
          <w:lang w:val="en-US"/>
        </w:rPr>
        <w:t>The Dowling study[18] modeled the need for long-duration storage on an inter-seasonal and even inter-annual basis. They found that seasonal storage is mostly discharged in summer, in contrast to other studies, due to reduced availability of wind resources in summer.</w:t>
      </w:r>
    </w:p>
    <w:p w14:paraId="4D58F1E9" w14:textId="4E5CB305" w:rsidR="00C209E7" w:rsidRDefault="006D6B8C" w:rsidP="0066766D">
      <w:pPr>
        <w:pStyle w:val="BodyText"/>
        <w:rPr>
          <w:lang w:val="en-US"/>
        </w:rPr>
      </w:pPr>
      <w:r>
        <w:rPr>
          <w:lang w:val="en-US"/>
        </w:rPr>
        <w:t xml:space="preserve">Both Jacobson[16] and Breyer[24] have used a more in-depth optimization of tilt angles in their capacity planning studies. In those supporting studies, </w:t>
      </w:r>
      <w:r w:rsidR="00E119CC">
        <w:rPr>
          <w:lang w:val="en-US"/>
        </w:rPr>
        <w:t>Jacobson[2</w:t>
      </w:r>
      <w:r w:rsidR="009B32D2">
        <w:rPr>
          <w:lang w:val="en-US"/>
        </w:rPr>
        <w:t>5</w:t>
      </w:r>
      <w:r w:rsidR="00E119CC">
        <w:rPr>
          <w:lang w:val="en-US"/>
        </w:rPr>
        <w:t xml:space="preserve">] assessed optimum tilt angles globally for fixed tilt and azimuth tracking collectors, accounting for meteorological conditions that affect the direct versus diffuse resource. </w:t>
      </w:r>
      <w:r w:rsidR="007538B0">
        <w:rPr>
          <w:lang w:val="en-US"/>
        </w:rPr>
        <w:t xml:space="preserve"> Breyer[2</w:t>
      </w:r>
      <w:r w:rsidR="009B32D2">
        <w:rPr>
          <w:lang w:val="en-US"/>
        </w:rPr>
        <w:t>6</w:t>
      </w:r>
      <w:r w:rsidR="007538B0">
        <w:rPr>
          <w:lang w:val="en-US"/>
        </w:rPr>
        <w:t xml:space="preserve">] similarly performed a global optimization </w:t>
      </w:r>
      <w:r w:rsidR="00ED2BC3">
        <w:rPr>
          <w:lang w:val="en-US"/>
        </w:rPr>
        <w:t xml:space="preserve">for fixed tilt collectors </w:t>
      </w:r>
      <w:r w:rsidR="007538B0">
        <w:rPr>
          <w:lang w:val="en-US"/>
        </w:rPr>
        <w:t>in combination with a levelized cost of energy (LCOE) model</w:t>
      </w:r>
      <w:r w:rsidR="004F7B53">
        <w:rPr>
          <w:lang w:val="en-US"/>
        </w:rPr>
        <w:t>.</w:t>
      </w:r>
      <w:r w:rsidR="0066766D">
        <w:rPr>
          <w:lang w:val="en-US"/>
        </w:rPr>
        <w:t xml:space="preserve">  Both studies </w:t>
      </w:r>
      <w:r w:rsidR="00C209E7">
        <w:rPr>
          <w:lang w:val="en-US"/>
        </w:rPr>
        <w:t xml:space="preserve">have been aimed at determining the optimum orientation to maximize energy production annually, rather than </w:t>
      </w:r>
      <w:r w:rsidR="00E119CC">
        <w:rPr>
          <w:lang w:val="en-US"/>
        </w:rPr>
        <w:t>the optimum to serve the load that is the subject of this paper.</w:t>
      </w:r>
    </w:p>
    <w:p w14:paraId="06BDD3C7" w14:textId="78408CB2" w:rsidR="009303D9" w:rsidRDefault="007167FC" w:rsidP="000652EF">
      <w:pPr>
        <w:pStyle w:val="Heading1"/>
      </w:pPr>
      <w:r>
        <w:t>Methodology</w:t>
      </w:r>
    </w:p>
    <w:p w14:paraId="55838ADD" w14:textId="6EB958E6" w:rsidR="00B22654" w:rsidRDefault="004A761D" w:rsidP="000A2A58">
      <w:r>
        <w:t>We use a</w:t>
      </w:r>
      <w:r w:rsidR="000A2A58">
        <w:t xml:space="preserve"> statewide</w:t>
      </w:r>
      <w:r>
        <w:t xml:space="preserve"> energy-balance approach, </w:t>
      </w:r>
      <w:r w:rsidR="000A2A58">
        <w:t>using</w:t>
      </w:r>
      <w:r w:rsidR="00306EEB">
        <w:t xml:space="preserve"> a</w:t>
      </w:r>
      <w:r w:rsidR="000A2A58">
        <w:t xml:space="preserve"> representative statewide generation profile for each of the PV plant configurations considered, and using the shape of the statewide</w:t>
      </w:r>
      <w:r w:rsidR="00306EEB">
        <w:t xml:space="preserve"> electrical</w:t>
      </w:r>
      <w:r w:rsidR="000A2A58">
        <w:t xml:space="preserve"> load based on historical data</w:t>
      </w:r>
      <w:r w:rsidR="00F70431">
        <w:t xml:space="preserve"> of the California Independent System Operator (CAISO)</w:t>
      </w:r>
      <w:r w:rsidR="001B6751">
        <w:t>[</w:t>
      </w:r>
      <w:r w:rsidR="00387EEC">
        <w:t>27</w:t>
      </w:r>
      <w:r w:rsidR="001B6751">
        <w:t>]</w:t>
      </w:r>
      <w:r w:rsidR="000A2A58">
        <w:t xml:space="preserve">. </w:t>
      </w:r>
      <w:r w:rsidR="00B22654">
        <w:t>For clarity, the quantities are normalized: the PV generation is normalized to 1 W</w:t>
      </w:r>
      <w:r w:rsidR="00B22654" w:rsidRPr="00B22654">
        <w:rPr>
          <w:vertAlign w:val="subscript"/>
        </w:rPr>
        <w:t>DC</w:t>
      </w:r>
      <w:r w:rsidR="00B22654">
        <w:t xml:space="preserve"> capacity, </w:t>
      </w:r>
      <w:r w:rsidR="00D71B9A">
        <w:t>cost is normalized per W</w:t>
      </w:r>
      <w:r w:rsidR="00D71B9A" w:rsidRPr="00D71B9A">
        <w:rPr>
          <w:vertAlign w:val="subscript"/>
        </w:rPr>
        <w:t>DC</w:t>
      </w:r>
      <w:r w:rsidR="00D71B9A">
        <w:t xml:space="preserve"> capacity, </w:t>
      </w:r>
      <w:r w:rsidR="00B22654">
        <w:t>and load is normalized to</w:t>
      </w:r>
      <w:r w:rsidR="00532CDA">
        <w:t xml:space="preserve"> an average of</w:t>
      </w:r>
      <w:r w:rsidR="00B22654">
        <w:t xml:space="preserve"> 1 W </w:t>
      </w:r>
      <w:r w:rsidR="001B6751">
        <w:t>(i.e., the total normalized annual load is 8760 Wh,</w:t>
      </w:r>
      <w:r w:rsidR="00306EEB">
        <w:t xml:space="preserve"> </w:t>
      </w:r>
      <w:r w:rsidR="001B6751">
        <w:t xml:space="preserve">but </w:t>
      </w:r>
      <w:r w:rsidR="00532CDA">
        <w:t>has the “shape” of</w:t>
      </w:r>
      <w:r w:rsidR="001B6751">
        <w:t xml:space="preserve"> the actual statewide load in California)</w:t>
      </w:r>
      <w:r w:rsidR="00B22654">
        <w:t xml:space="preserve">. </w:t>
      </w:r>
    </w:p>
    <w:p w14:paraId="419CC168" w14:textId="16D21287" w:rsidR="00DC4314" w:rsidRPr="00DC4314" w:rsidRDefault="00AD74E1" w:rsidP="00DC4314">
      <w:pPr>
        <w:pStyle w:val="Heading2"/>
      </w:pPr>
      <w:r>
        <w:t>Statewide PV Generation Profiles</w:t>
      </w:r>
    </w:p>
    <w:p w14:paraId="7B9EEBA4" w14:textId="2FE3170D" w:rsidR="000A2A58" w:rsidRDefault="000A2A58" w:rsidP="000A2A58">
      <w:pPr>
        <w:pStyle w:val="BodyText"/>
        <w:rPr>
          <w:lang w:val="en-US"/>
        </w:rPr>
      </w:pPr>
      <w:r>
        <w:rPr>
          <w:lang w:val="en-US"/>
        </w:rPr>
        <w:t>The PV generation profiles were calculated using SAM’s PVWATTS v7 model, implemented in Python using SAM API calls[</w:t>
      </w:r>
      <w:r w:rsidR="00C50BF9">
        <w:rPr>
          <w:lang w:val="en-US"/>
        </w:rPr>
        <w:t>2</w:t>
      </w:r>
      <w:r w:rsidR="0049301F">
        <w:rPr>
          <w:lang w:val="en-US"/>
        </w:rPr>
        <w:t>8</w:t>
      </w:r>
      <w:r>
        <w:rPr>
          <w:lang w:val="en-US"/>
        </w:rPr>
        <w:t>]. The PV system parameters used (in common for all  the configurations) are:</w:t>
      </w:r>
    </w:p>
    <w:p w14:paraId="1AC2DAE2" w14:textId="03640420" w:rsidR="000A2A58" w:rsidRDefault="000A2A58" w:rsidP="000A2A58">
      <w:pPr>
        <w:pStyle w:val="BodyText"/>
        <w:numPr>
          <w:ilvl w:val="0"/>
          <w:numId w:val="32"/>
        </w:numPr>
        <w:spacing w:after="0pt"/>
        <w:ind w:start="31.50pt"/>
        <w:rPr>
          <w:lang w:val="en-US"/>
        </w:rPr>
      </w:pPr>
      <w:r>
        <w:rPr>
          <w:lang w:val="en-US"/>
        </w:rPr>
        <w:t>DC/AC ratio: 1.3</w:t>
      </w:r>
    </w:p>
    <w:p w14:paraId="4053BD95" w14:textId="429A5B1C" w:rsidR="000A2A58" w:rsidRDefault="000A2A58" w:rsidP="000A2A58">
      <w:pPr>
        <w:pStyle w:val="BodyText"/>
        <w:numPr>
          <w:ilvl w:val="0"/>
          <w:numId w:val="32"/>
        </w:numPr>
        <w:spacing w:after="0pt"/>
        <w:ind w:start="31.50pt"/>
        <w:rPr>
          <w:lang w:val="en-US"/>
        </w:rPr>
      </w:pPr>
      <w:r>
        <w:rPr>
          <w:lang w:val="en-US"/>
        </w:rPr>
        <w:t>Module quality: 1 (monocrystalline)</w:t>
      </w:r>
    </w:p>
    <w:p w14:paraId="679CE0C8" w14:textId="1792BEB3" w:rsidR="000A2A58" w:rsidRDefault="000A2A58" w:rsidP="000A2A58">
      <w:pPr>
        <w:pStyle w:val="BodyText"/>
        <w:numPr>
          <w:ilvl w:val="0"/>
          <w:numId w:val="32"/>
        </w:numPr>
        <w:spacing w:after="0pt"/>
        <w:ind w:start="31.50pt"/>
        <w:rPr>
          <w:lang w:val="en-US"/>
        </w:rPr>
      </w:pPr>
      <w:r>
        <w:rPr>
          <w:lang w:val="en-US"/>
        </w:rPr>
        <w:t>Bifaciality: 0.7</w:t>
      </w:r>
    </w:p>
    <w:p w14:paraId="086848D4" w14:textId="6C6FA8BD" w:rsidR="000A2A58" w:rsidRDefault="000A2A58" w:rsidP="000A2A58">
      <w:pPr>
        <w:pStyle w:val="BodyText"/>
        <w:numPr>
          <w:ilvl w:val="0"/>
          <w:numId w:val="32"/>
        </w:numPr>
        <w:spacing w:after="0pt"/>
        <w:ind w:start="31.50pt"/>
        <w:rPr>
          <w:lang w:val="en-US"/>
        </w:rPr>
      </w:pPr>
      <w:r>
        <w:rPr>
          <w:lang w:val="en-US"/>
        </w:rPr>
        <w:t>System losses: 14.07%</w:t>
      </w:r>
    </w:p>
    <w:p w14:paraId="23BE9D46" w14:textId="77777777" w:rsidR="000A2A58" w:rsidRDefault="000A2A58" w:rsidP="000A2A58">
      <w:pPr>
        <w:pStyle w:val="BodyText"/>
        <w:numPr>
          <w:ilvl w:val="0"/>
          <w:numId w:val="32"/>
        </w:numPr>
        <w:ind w:start="31.50pt"/>
        <w:rPr>
          <w:lang w:val="en-US"/>
        </w:rPr>
      </w:pPr>
      <w:r>
        <w:rPr>
          <w:lang w:val="en-US"/>
        </w:rPr>
        <w:t>Inverter efficiency: 96%</w:t>
      </w:r>
    </w:p>
    <w:p w14:paraId="62A43901" w14:textId="5F56C3D1" w:rsidR="000A2A58" w:rsidRDefault="000A2A58" w:rsidP="000A2A58">
      <w:pPr>
        <w:pStyle w:val="BodyText"/>
        <w:rPr>
          <w:lang w:val="en-US"/>
        </w:rPr>
      </w:pPr>
      <w:r>
        <w:rPr>
          <w:lang w:val="en-US"/>
        </w:rPr>
        <w:t>For fixed tilt configurations, the ground coverage ratio was calculated according to criteria for inter-row spacing given by the Arizona Solar Center[</w:t>
      </w:r>
      <w:r w:rsidR="00C50BF9">
        <w:rPr>
          <w:lang w:val="en-US"/>
        </w:rPr>
        <w:t>2</w:t>
      </w:r>
      <w:r w:rsidR="0049301F">
        <w:rPr>
          <w:lang w:val="en-US"/>
        </w:rPr>
        <w:t>9</w:t>
      </w:r>
      <w:r>
        <w:rPr>
          <w:lang w:val="en-US"/>
        </w:rPr>
        <w:t>], which provides for no direct beam shading in mid-winter when the sun is above its noon elevation angle, capturing about 90% of the available energy. For</w:t>
      </w:r>
      <w:r w:rsidR="001E7390">
        <w:rPr>
          <w:lang w:val="en-US"/>
        </w:rPr>
        <w:t xml:space="preserve"> tilted</w:t>
      </w:r>
      <w:r>
        <w:rPr>
          <w:lang w:val="en-US"/>
        </w:rPr>
        <w:t xml:space="preserve"> tracking configurations, row-to-row (inter-row) shading is ignored by PVWATTS, and the ground coverage ratio refers to shading of adjacent trackers within a row (intra-row shading); a ground coverage ratio of 0.4, a typical value for horizontal trackers, was used for </w:t>
      </w:r>
      <w:r w:rsidR="003E7C69">
        <w:rPr>
          <w:lang w:val="en-US"/>
        </w:rPr>
        <w:t>all</w:t>
      </w:r>
      <w:r>
        <w:rPr>
          <w:lang w:val="en-US"/>
        </w:rPr>
        <w:t xml:space="preserve"> the tracking configurations. </w:t>
      </w:r>
      <w:proofErr w:type="gramStart"/>
      <w:r>
        <w:rPr>
          <w:lang w:val="en-US"/>
        </w:rPr>
        <w:t>In reality, the</w:t>
      </w:r>
      <w:proofErr w:type="gramEnd"/>
      <w:r>
        <w:rPr>
          <w:lang w:val="en-US"/>
        </w:rPr>
        <w:t xml:space="preserve"> shading in inclined-axis tracker fields is rather complex, with both inter-row and intra-row shading, and often with staggered placement of rows. </w:t>
      </w:r>
    </w:p>
    <w:p w14:paraId="087FB3A8" w14:textId="70E9F123" w:rsidR="00891559" w:rsidRDefault="00A0649D" w:rsidP="000652EF">
      <w:pPr>
        <w:pStyle w:val="BodyText"/>
        <w:rPr>
          <w:lang w:val="en-US"/>
        </w:rPr>
      </w:pPr>
      <w:r>
        <w:rPr>
          <w:lang w:val="en-US"/>
        </w:rPr>
        <w:t>Statewide</w:t>
      </w:r>
      <w:r w:rsidR="009A5E65">
        <w:rPr>
          <w:lang w:val="en-US"/>
        </w:rPr>
        <w:t xml:space="preserve"> utility-scale</w:t>
      </w:r>
      <w:r>
        <w:rPr>
          <w:lang w:val="en-US"/>
        </w:rPr>
        <w:t xml:space="preserve"> PV generation profiles were developed for </w:t>
      </w:r>
      <w:r w:rsidR="00BA4EDC">
        <w:rPr>
          <w:lang w:val="en-US"/>
        </w:rPr>
        <w:t xml:space="preserve">a </w:t>
      </w:r>
      <w:r>
        <w:rPr>
          <w:lang w:val="en-US"/>
        </w:rPr>
        <w:t>simplified analysis by first developing spatially averaged solar resource files for each county in California, and then simulating the PV configurations for each county, and finally weighting the resulting PV generation in each county in proportion to the actual generation that existed in that county in 2019</w:t>
      </w:r>
      <w:r w:rsidR="00BD4AB2">
        <w:rPr>
          <w:lang w:val="en-US"/>
        </w:rPr>
        <w:t>[</w:t>
      </w:r>
      <w:r w:rsidR="0049301F">
        <w:rPr>
          <w:lang w:val="en-US"/>
        </w:rPr>
        <w:t>30</w:t>
      </w:r>
      <w:r w:rsidR="00BD4AB2">
        <w:rPr>
          <w:lang w:val="en-US"/>
        </w:rPr>
        <w:t>]. Thus, the statewide profiles assume that future PV capacity growth in the state will follow what has already occurred</w:t>
      </w:r>
      <w:r w:rsidR="00C64331">
        <w:rPr>
          <w:lang w:val="en-US"/>
        </w:rPr>
        <w:t xml:space="preserve">, </w:t>
      </w:r>
      <w:r w:rsidR="00891559">
        <w:rPr>
          <w:lang w:val="en-US"/>
        </w:rPr>
        <w:t xml:space="preserve">as </w:t>
      </w:r>
      <w:r w:rsidR="00C64331">
        <w:rPr>
          <w:lang w:val="en-US"/>
        </w:rPr>
        <w:t xml:space="preserve">illustrated in Fig. </w:t>
      </w:r>
      <w:r w:rsidR="000A2A58">
        <w:rPr>
          <w:lang w:val="en-US"/>
        </w:rPr>
        <w:t>1</w:t>
      </w:r>
      <w:r w:rsidR="00C64331">
        <w:rPr>
          <w:lang w:val="en-US"/>
        </w:rPr>
        <w:t xml:space="preserve">. </w:t>
      </w:r>
      <w:r w:rsidR="006B5999">
        <w:rPr>
          <w:lang w:val="en-US"/>
        </w:rPr>
        <w:t>The resulting capacity-weighted “average” PV system is located at 35.2° latitude.</w:t>
      </w:r>
    </w:p>
    <w:p w14:paraId="7CC26E07" w14:textId="73B2E141" w:rsidR="00A3756D" w:rsidRDefault="008F29FE" w:rsidP="000652EF">
      <w:pPr>
        <w:pStyle w:val="BodyText"/>
        <w:rPr>
          <w:lang w:val="en-US"/>
        </w:rPr>
      </w:pPr>
      <w:r>
        <w:rPr>
          <w:lang w:val="en-US"/>
        </w:rPr>
        <w:t xml:space="preserve">The </w:t>
      </w:r>
      <w:r w:rsidR="00891559">
        <w:rPr>
          <w:lang w:val="en-US"/>
        </w:rPr>
        <w:t xml:space="preserve">spatially averaged solar resource files were created using </w:t>
      </w:r>
      <w:r w:rsidR="00BA4EDC">
        <w:rPr>
          <w:lang w:val="en-US"/>
        </w:rPr>
        <w:t xml:space="preserve">2019 </w:t>
      </w:r>
      <w:r w:rsidR="00891559">
        <w:rPr>
          <w:lang w:val="en-US"/>
        </w:rPr>
        <w:t xml:space="preserve">data downloaded from the </w:t>
      </w:r>
      <w:r w:rsidR="000A2A58">
        <w:rPr>
          <w:lang w:val="en-US"/>
        </w:rPr>
        <w:t>National Solar Radiation Database (</w:t>
      </w:r>
      <w:r w:rsidR="00891559">
        <w:rPr>
          <w:lang w:val="en-US"/>
        </w:rPr>
        <w:t>NSRDB</w:t>
      </w:r>
      <w:r w:rsidR="000A2A58">
        <w:rPr>
          <w:lang w:val="en-US"/>
        </w:rPr>
        <w:t>)[</w:t>
      </w:r>
      <w:r w:rsidR="0049301F">
        <w:rPr>
          <w:lang w:val="en-US"/>
        </w:rPr>
        <w:t>31</w:t>
      </w:r>
      <w:r w:rsidR="000A2A58">
        <w:rPr>
          <w:lang w:val="en-US"/>
        </w:rPr>
        <w:t>]</w:t>
      </w:r>
      <w:r w:rsidR="00BA4EDC">
        <w:rPr>
          <w:lang w:val="en-US"/>
        </w:rPr>
        <w:t>, again</w:t>
      </w:r>
      <w:r w:rsidR="00891559">
        <w:rPr>
          <w:lang w:val="en-US"/>
        </w:rPr>
        <w:t xml:space="preserve"> on a 0.1°×0.1° grid throughout California</w:t>
      </w:r>
      <w:r w:rsidR="00BA4EDC">
        <w:rPr>
          <w:lang w:val="en-US"/>
        </w:rPr>
        <w:t>,</w:t>
      </w:r>
      <w:r w:rsidR="00891559">
        <w:rPr>
          <w:lang w:val="en-US"/>
        </w:rPr>
        <w:t xml:space="preserve"> </w:t>
      </w:r>
      <w:r w:rsidR="00452736">
        <w:rPr>
          <w:lang w:val="en-US"/>
        </w:rPr>
        <w:t xml:space="preserve">by </w:t>
      </w:r>
      <w:r w:rsidR="00891559">
        <w:rPr>
          <w:lang w:val="en-US"/>
        </w:rPr>
        <w:t xml:space="preserve">averaging the irradiance values (as well as temperature and wind speed) from each location in each county. </w:t>
      </w:r>
      <w:r w:rsidR="0046549F">
        <w:rPr>
          <w:lang w:val="en-US"/>
        </w:rPr>
        <w:t xml:space="preserve">This procedure results in smoothing of the irradiance due to geographic diversity, </w:t>
      </w:r>
      <w:r w:rsidR="00452736">
        <w:rPr>
          <w:lang w:val="en-US"/>
        </w:rPr>
        <w:t xml:space="preserve">realistically approximating the actual aggregated PV generation </w:t>
      </w:r>
      <w:r w:rsidR="001B6751">
        <w:rPr>
          <w:lang w:val="en-US"/>
        </w:rPr>
        <w:t>while</w:t>
      </w:r>
      <w:r w:rsidR="0046549F">
        <w:rPr>
          <w:lang w:val="en-US"/>
        </w:rPr>
        <w:t xml:space="preserve"> still preserv</w:t>
      </w:r>
      <w:r w:rsidR="001B6751">
        <w:rPr>
          <w:lang w:val="en-US"/>
        </w:rPr>
        <w:t>ing</w:t>
      </w:r>
      <w:r w:rsidR="0046549F">
        <w:rPr>
          <w:lang w:val="en-US"/>
        </w:rPr>
        <w:t xml:space="preserve"> the essential differences in performance of different PV configurations with latitude</w:t>
      </w:r>
      <w:r w:rsidR="00F27F4C">
        <w:rPr>
          <w:lang w:val="en-US"/>
        </w:rPr>
        <w:t xml:space="preserve">, with </w:t>
      </w:r>
      <w:r w:rsidR="00EE4686">
        <w:rPr>
          <w:lang w:val="en-US"/>
        </w:rPr>
        <w:t xml:space="preserve">a </w:t>
      </w:r>
      <w:r w:rsidR="00F27F4C">
        <w:rPr>
          <w:lang w:val="en-US"/>
        </w:rPr>
        <w:t xml:space="preserve">PV generation time series for each of the 58 California counties, for each of the configurations considered. </w:t>
      </w:r>
      <w:r w:rsidR="00BC2194">
        <w:rPr>
          <w:lang w:val="en-US"/>
        </w:rPr>
        <w:t xml:space="preserve"> The generation profiles are for the year 2019, consistent with the CAISO data used for load.</w:t>
      </w:r>
      <w:r w:rsidR="001B6751">
        <w:rPr>
          <w:lang w:val="en-US"/>
        </w:rPr>
        <w:t xml:space="preserve"> Fig. 2 shows the daily energy generation for each of the configurations modeled, for an example day in summer, spring/autumn, and winter.</w:t>
      </w:r>
    </w:p>
    <w:p w14:paraId="62EE9D4A" w14:textId="77777777" w:rsidR="00466C9D" w:rsidRPr="00A356A6" w:rsidRDefault="00466C9D" w:rsidP="00466C9D">
      <w:pPr>
        <w:pStyle w:val="Heading2"/>
      </w:pPr>
      <w:r>
        <w:t>PV Cost Model</w:t>
      </w:r>
    </w:p>
    <w:p w14:paraId="7714FF6A" w14:textId="4A5C2F0D" w:rsidR="00466C9D" w:rsidRDefault="00466C9D" w:rsidP="00466C9D">
      <w:pPr>
        <w:pStyle w:val="BodyText"/>
        <w:rPr>
          <w:lang w:val="en-US"/>
        </w:rPr>
      </w:pPr>
      <w:bookmarkStart w:id="0" w:name="_Hlk96967262"/>
      <w:r>
        <w:rPr>
          <w:lang w:val="en-US"/>
        </w:rPr>
        <w:t>The PV capital expense (Capex) is modeled based on an NREL study[</w:t>
      </w:r>
      <w:r w:rsidR="0049301F">
        <w:rPr>
          <w:lang w:val="en-US"/>
        </w:rPr>
        <w:t>32</w:t>
      </w:r>
      <w:r>
        <w:rPr>
          <w:lang w:val="en-US"/>
        </w:rPr>
        <w:t>] that is the basis for the costs reflected in the 2021 NREL Annual Technology Baseline (ATB)[</w:t>
      </w:r>
      <w:r w:rsidR="00C50BF9">
        <w:rPr>
          <w:lang w:val="en-US"/>
        </w:rPr>
        <w:t>3</w:t>
      </w:r>
      <w:r w:rsidR="0049301F">
        <w:rPr>
          <w:lang w:val="en-US"/>
        </w:rPr>
        <w:t>3</w:t>
      </w:r>
      <w:r>
        <w:rPr>
          <w:lang w:val="en-US"/>
        </w:rPr>
        <w:t xml:space="preserve">]. </w:t>
      </w:r>
      <w:r w:rsidR="00BC3707">
        <w:rPr>
          <w:lang w:val="en-US"/>
        </w:rPr>
        <w:t xml:space="preserve">The NREL study benchmarked </w:t>
      </w:r>
      <w:r w:rsidR="00BC3707" w:rsidRPr="00BC3707">
        <w:rPr>
          <w:lang w:val="en-US"/>
        </w:rPr>
        <w:t>both fixed-tilt and one-axis tracking on ground-mounted racking systems using driven-pile foundations.</w:t>
      </w:r>
      <w:r w:rsidR="00BC3707">
        <w:rPr>
          <w:lang w:val="en-US"/>
        </w:rPr>
        <w:t xml:space="preserve">, using actual reported project costs and a U.S. carbon steel pricing index. </w:t>
      </w:r>
      <w:r>
        <w:rPr>
          <w:lang w:val="en-US"/>
        </w:rPr>
        <w:t xml:space="preserve">Fig. </w:t>
      </w:r>
      <w:r w:rsidR="001B6751">
        <w:rPr>
          <w:lang w:val="en-US"/>
        </w:rPr>
        <w:t>3</w:t>
      </w:r>
      <w:r>
        <w:rPr>
          <w:lang w:val="en-US"/>
        </w:rPr>
        <w:t xml:space="preserve"> shows the baseline costs for both fixed latitude tilt and 1-axis zero tilt PV systems from the NREL study</w:t>
      </w:r>
      <w:r w:rsidR="004F3664">
        <w:rPr>
          <w:lang w:val="en-US"/>
        </w:rPr>
        <w:t xml:space="preserve"> for 100 MW systems</w:t>
      </w:r>
      <w:r>
        <w:rPr>
          <w:lang w:val="en-US"/>
        </w:rPr>
        <w:t>. Note that land cost is treated as an operational expense (</w:t>
      </w:r>
      <w:proofErr w:type="spellStart"/>
      <w:r>
        <w:rPr>
          <w:lang w:val="en-US"/>
        </w:rPr>
        <w:t>Opex</w:t>
      </w:r>
      <w:proofErr w:type="spellEnd"/>
      <w:r>
        <w:rPr>
          <w:lang w:val="en-US"/>
        </w:rPr>
        <w:t>) in the form of lease payments, rather than as a Capex cost.</w:t>
      </w:r>
    </w:p>
    <w:bookmarkEnd w:id="0"/>
    <w:p w14:paraId="5F41126A" w14:textId="741DF7F6" w:rsidR="00E043CF" w:rsidRDefault="00AF05F5" w:rsidP="00E043CF">
      <w:pPr>
        <w:pStyle w:val="BodyText"/>
        <w:rPr>
          <w:lang w:val="en-US"/>
        </w:rPr>
      </w:pPr>
      <w:r>
        <w:rPr>
          <w:lang w:val="en-US"/>
        </w:rPr>
        <w:t xml:space="preserve">Table II shows how the NREL study was used to estimate PV Capex as a function of tilt angle. </w:t>
      </w:r>
      <w:r w:rsidR="00466C9D">
        <w:rPr>
          <w:lang w:val="en-US"/>
        </w:rPr>
        <w:t xml:space="preserve">Changing the inclination of the PV generators has two effects on the total cost: (a) a change in the cost of structural </w:t>
      </w:r>
      <w:r w:rsidR="00484DE6">
        <w:rPr>
          <w:lang w:val="en-US"/>
        </w:rPr>
        <w:t>balance of system (</w:t>
      </w:r>
      <w:r w:rsidR="00466C9D">
        <w:rPr>
          <w:lang w:val="en-US"/>
        </w:rPr>
        <w:t>BOS</w:t>
      </w:r>
      <w:r w:rsidR="00484DE6">
        <w:rPr>
          <w:lang w:val="en-US"/>
        </w:rPr>
        <w:t>) cost</w:t>
      </w:r>
      <w:r w:rsidR="00466C9D">
        <w:rPr>
          <w:lang w:val="en-US"/>
        </w:rPr>
        <w:t xml:space="preserve">, and (b) a change in the land use. </w:t>
      </w:r>
      <w:r>
        <w:rPr>
          <w:lang w:val="en-US"/>
        </w:rPr>
        <w:t xml:space="preserve">Because there is no significant commercial presence of inclined axis trackers on a scale comparable to that of horizontal trackers, it is difficult to say </w:t>
      </w:r>
      <w:r w:rsidR="005D2AE0">
        <w:rPr>
          <w:noProof/>
          <w:lang w:val="en-US"/>
        </w:rPr>
        <w:lastRenderedPageBreak/>
        <w:drawing>
          <wp:anchor distT="0" distB="0" distL="114300" distR="114300" simplePos="0" relativeHeight="251658240" behindDoc="0" locked="0" layoutInCell="1" allowOverlap="1" wp14:anchorId="53112A59" wp14:editId="55EAF355">
            <wp:simplePos x="0" y="0"/>
            <wp:positionH relativeFrom="column">
              <wp:posOffset>3175</wp:posOffset>
            </wp:positionH>
            <wp:positionV relativeFrom="paragraph">
              <wp:posOffset>0</wp:posOffset>
            </wp:positionV>
            <wp:extent cx="6602730" cy="4919980"/>
            <wp:effectExtent l="0" t="0" r="7620" b="0"/>
            <wp:wrapSquare wrapText="bothSides"/>
            <wp:docPr id="47" name="Picture 4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02730" cy="4919980"/>
                    </a:xfrm>
                    <a:prstGeom prst="rect">
                      <a:avLst/>
                    </a:prstGeom>
                    <a:noFill/>
                  </pic:spPr>
                </pic:pic>
              </a:graphicData>
            </a:graphic>
          </wp:anchor>
        </w:drawing>
      </w:r>
      <w:r>
        <w:rPr>
          <w:lang w:val="en-US"/>
        </w:rPr>
        <w:t xml:space="preserve">what cost might be achieved with volume and innovation. After discussions with suppliers of fixed-tilt and 1-axis tracking components, we </w:t>
      </w:r>
      <w:r w:rsidR="00466C9D">
        <w:rPr>
          <w:lang w:val="en-US"/>
        </w:rPr>
        <w:t xml:space="preserve">assumed that for fixed tilt systems 33% of the structural BOS cost varies with the tilt angle θ in proportion to (1+sin(θ)). For example, the racking on which modules are mounted depends only on module size, not inclination angle, but height (and possibly depth) of foundation posts is affected by θ. For trackers </w:t>
      </w:r>
      <w:r w:rsidR="00172844">
        <w:rPr>
          <w:lang w:val="en-US"/>
        </w:rPr>
        <w:t>we</w:t>
      </w:r>
      <w:r w:rsidR="00466C9D">
        <w:rPr>
          <w:lang w:val="en-US"/>
        </w:rPr>
        <w:t xml:space="preserve"> assume 66% of the structural BOS is affected by θ. The structural BOS is a small portion of the overall Capex in both cases, with the result that the modeled Capex cost is a rather weak function of latitude as shown in Fig. </w:t>
      </w:r>
      <w:r w:rsidR="001B6751">
        <w:rPr>
          <w:lang w:val="en-US"/>
        </w:rPr>
        <w:t>4</w:t>
      </w:r>
      <w:r w:rsidR="00466C9D">
        <w:rPr>
          <w:lang w:val="en-US"/>
        </w:rPr>
        <w:t>.</w:t>
      </w:r>
      <w:r w:rsidR="00E043CF">
        <w:rPr>
          <w:lang w:val="en-US"/>
        </w:rPr>
        <w:t xml:space="preserve"> </w:t>
      </w:r>
      <w:r w:rsidR="00484DE6">
        <w:rPr>
          <w:lang w:val="en-US"/>
        </w:rPr>
        <w:t>The same capacity-weighting procedure by county used to develop the representative statewide PV generation profiles was also applied to establish statewide PV Capex cost</w:t>
      </w:r>
      <w:r w:rsidR="00E043CF">
        <w:rPr>
          <w:lang w:val="en-US"/>
        </w:rPr>
        <w:t>, with a statewide weighted-average latitude of 35.2°</w:t>
      </w:r>
      <w:r w:rsidR="00484DE6">
        <w:rPr>
          <w:lang w:val="en-US"/>
        </w:rPr>
        <w:t xml:space="preserve">. </w:t>
      </w:r>
    </w:p>
    <w:p w14:paraId="297A2E21" w14:textId="684F571F" w:rsidR="00AF05F5" w:rsidRPr="00435685" w:rsidRDefault="00AF05F5" w:rsidP="00435685">
      <w:pPr>
        <w:pStyle w:val="BodyText"/>
        <w:ind w:firstLine="0pt"/>
        <w:jc w:val="center"/>
        <w:rPr>
          <w:smallCaps/>
          <w:lang w:val="en-US"/>
        </w:rPr>
      </w:pPr>
      <w:r w:rsidRPr="00435685">
        <w:rPr>
          <w:smallCaps/>
          <w:lang w:val="en-US"/>
        </w:rPr>
        <w:t>Table II. Cost Relationships Used to Estimate PV Capex (θ is the tilt angle)</w:t>
      </w:r>
    </w:p>
    <w:tbl>
      <w:tblPr>
        <w:tblStyle w:val="TableGrid"/>
        <w:tblW w:w="0pt" w:type="dxa"/>
        <w:tblLook w:firstRow="1" w:lastRow="0" w:firstColumn="1" w:lastColumn="0" w:noHBand="0" w:noVBand="1"/>
      </w:tblPr>
      <w:tblGrid>
        <w:gridCol w:w="1070"/>
        <w:gridCol w:w="1931"/>
        <w:gridCol w:w="2022"/>
      </w:tblGrid>
      <w:tr w:rsidR="005C1749" w:rsidRPr="00435685" w14:paraId="2631F120" w14:textId="77777777" w:rsidTr="005C1749">
        <w:tc>
          <w:tcPr>
            <w:tcW w:w="53.50pt" w:type="dxa"/>
            <w:tcBorders>
              <w:bottom w:val="single" w:sz="4" w:space="0" w:color="auto"/>
            </w:tcBorders>
            <w:shd w:val="clear" w:color="auto" w:fill="E7E6E6" w:themeFill="background2"/>
            <w:vAlign w:val="center"/>
          </w:tcPr>
          <w:p w14:paraId="25FC8599" w14:textId="77777777" w:rsidR="00435685" w:rsidRPr="005C1749" w:rsidRDefault="00435685" w:rsidP="005C1749">
            <w:pPr>
              <w:pStyle w:val="BodyText"/>
              <w:tabs>
                <w:tab w:val="clear" w:pos="14.40pt"/>
              </w:tabs>
              <w:ind w:firstLine="0pt"/>
              <w:jc w:val="center"/>
              <w:rPr>
                <w:rFonts w:asciiTheme="minorBidi" w:hAnsiTheme="minorBidi" w:cstheme="minorBidi"/>
                <w:b/>
                <w:bCs/>
                <w:sz w:val="16"/>
                <w:szCs w:val="16"/>
                <w:lang w:val="en-US"/>
              </w:rPr>
            </w:pPr>
            <w:r w:rsidRPr="005C1749">
              <w:rPr>
                <w:rFonts w:asciiTheme="minorBidi" w:hAnsiTheme="minorBidi" w:cstheme="minorBidi"/>
                <w:b/>
                <w:bCs/>
                <w:sz w:val="16"/>
                <w:szCs w:val="16"/>
                <w:lang w:val="en-US"/>
              </w:rPr>
              <w:t>Cost component</w:t>
            </w:r>
          </w:p>
        </w:tc>
        <w:tc>
          <w:tcPr>
            <w:tcW w:w="96.55pt" w:type="dxa"/>
            <w:tcBorders>
              <w:bottom w:val="single" w:sz="4" w:space="0" w:color="auto"/>
            </w:tcBorders>
            <w:shd w:val="clear" w:color="auto" w:fill="E7E6E6" w:themeFill="background2"/>
            <w:vAlign w:val="center"/>
          </w:tcPr>
          <w:p w14:paraId="639DF7E6" w14:textId="77777777" w:rsidR="00435685" w:rsidRPr="005C1749" w:rsidRDefault="00435685" w:rsidP="005C1749">
            <w:pPr>
              <w:pStyle w:val="BodyText"/>
              <w:tabs>
                <w:tab w:val="clear" w:pos="14.40pt"/>
              </w:tabs>
              <w:ind w:firstLine="0pt"/>
              <w:jc w:val="center"/>
              <w:rPr>
                <w:rFonts w:asciiTheme="minorBidi" w:hAnsiTheme="minorBidi" w:cstheme="minorBidi"/>
                <w:b/>
                <w:bCs/>
                <w:sz w:val="16"/>
                <w:szCs w:val="16"/>
                <w:lang w:val="en-US"/>
              </w:rPr>
            </w:pPr>
            <w:r w:rsidRPr="005C1749">
              <w:rPr>
                <w:rFonts w:asciiTheme="minorBidi" w:hAnsiTheme="minorBidi" w:cstheme="minorBidi"/>
                <w:b/>
                <w:bCs/>
                <w:sz w:val="16"/>
                <w:szCs w:val="16"/>
                <w:lang w:val="en-US"/>
              </w:rPr>
              <w:t>Fixed</w:t>
            </w:r>
          </w:p>
        </w:tc>
        <w:tc>
          <w:tcPr>
            <w:tcW w:w="101.10pt" w:type="dxa"/>
            <w:tcBorders>
              <w:bottom w:val="single" w:sz="4" w:space="0" w:color="auto"/>
            </w:tcBorders>
            <w:shd w:val="clear" w:color="auto" w:fill="E7E6E6" w:themeFill="background2"/>
            <w:vAlign w:val="center"/>
          </w:tcPr>
          <w:p w14:paraId="3E3C3109" w14:textId="77777777" w:rsidR="00435685" w:rsidRPr="005C1749" w:rsidRDefault="00435685" w:rsidP="005C1749">
            <w:pPr>
              <w:pStyle w:val="BodyText"/>
              <w:tabs>
                <w:tab w:val="clear" w:pos="14.40pt"/>
              </w:tabs>
              <w:ind w:firstLine="0pt"/>
              <w:jc w:val="center"/>
              <w:rPr>
                <w:rFonts w:asciiTheme="minorBidi" w:hAnsiTheme="minorBidi" w:cstheme="minorBidi"/>
                <w:b/>
                <w:bCs/>
                <w:sz w:val="16"/>
                <w:szCs w:val="16"/>
                <w:lang w:val="en-US"/>
              </w:rPr>
            </w:pPr>
            <w:r w:rsidRPr="005C1749">
              <w:rPr>
                <w:rFonts w:asciiTheme="minorBidi" w:hAnsiTheme="minorBidi" w:cstheme="minorBidi"/>
                <w:b/>
                <w:bCs/>
                <w:sz w:val="16"/>
                <w:szCs w:val="16"/>
                <w:lang w:val="en-US"/>
              </w:rPr>
              <w:t>Tracking</w:t>
            </w:r>
          </w:p>
        </w:tc>
      </w:tr>
      <w:tr w:rsidR="008F5908" w:rsidRPr="00435685" w14:paraId="6F0C67A1" w14:textId="77777777" w:rsidTr="005C1749">
        <w:tc>
          <w:tcPr>
            <w:tcW w:w="53.50pt" w:type="dxa"/>
            <w:tcBorders>
              <w:bottom w:val="nil"/>
            </w:tcBorders>
          </w:tcPr>
          <w:p w14:paraId="64FC1DB5" w14:textId="77777777" w:rsidR="00435685" w:rsidRPr="00435685" w:rsidRDefault="00435685" w:rsidP="00435685">
            <w:pPr>
              <w:pStyle w:val="BodyText"/>
              <w:tabs>
                <w:tab w:val="clear" w:pos="14.40pt"/>
              </w:tabs>
              <w:ind w:firstLine="0pt"/>
              <w:jc w:val="start"/>
              <w:rPr>
                <w:rFonts w:asciiTheme="minorBidi" w:hAnsiTheme="minorBidi" w:cstheme="minorBidi"/>
                <w:sz w:val="16"/>
                <w:szCs w:val="16"/>
                <w:lang w:val="en-US"/>
              </w:rPr>
            </w:pPr>
            <w:r w:rsidRPr="00435685">
              <w:rPr>
                <w:rFonts w:asciiTheme="minorBidi" w:hAnsiTheme="minorBidi" w:cstheme="minorBidi"/>
                <w:sz w:val="16"/>
                <w:szCs w:val="16"/>
                <w:lang w:val="en-US"/>
              </w:rPr>
              <w:t>Structural BOS</w:t>
            </w:r>
          </w:p>
        </w:tc>
        <w:tc>
          <w:tcPr>
            <w:tcW w:w="96.55pt" w:type="dxa"/>
            <w:tcBorders>
              <w:bottom w:val="nil"/>
            </w:tcBorders>
          </w:tcPr>
          <w:p w14:paraId="33F7A971" w14:textId="62B181C5" w:rsidR="00435685" w:rsidRDefault="00435685" w:rsidP="005C1749">
            <w:pPr>
              <w:pStyle w:val="BodyText"/>
              <w:tabs>
                <w:tab w:val="clear" w:pos="14.40pt"/>
              </w:tabs>
              <w:ind w:firstLine="0pt"/>
              <w:jc w:val="center"/>
              <w:rPr>
                <w:rFonts w:asciiTheme="minorBidi" w:hAnsiTheme="minorBidi" w:cstheme="minorBidi"/>
                <w:sz w:val="16"/>
                <w:szCs w:val="16"/>
                <w:lang w:val="en-US"/>
              </w:rPr>
            </w:pPr>
            <w:r w:rsidRPr="00435685">
              <w:rPr>
                <w:rFonts w:asciiTheme="minorBidi" w:hAnsiTheme="minorBidi" w:cstheme="minorBidi"/>
                <w:sz w:val="16"/>
                <w:szCs w:val="16"/>
                <w:lang w:val="en-US"/>
              </w:rPr>
              <w:t xml:space="preserve">NREL Structural BOS × </w:t>
            </w:r>
          </w:p>
          <w:p w14:paraId="370C94BA" w14:textId="1242D611" w:rsidR="008F5908" w:rsidRPr="00435685" w:rsidRDefault="00D26A30" w:rsidP="005C1749">
            <w:pPr>
              <w:pStyle w:val="BodyText"/>
              <w:tabs>
                <w:tab w:val="clear" w:pos="14.40pt"/>
              </w:tabs>
              <w:ind w:firstLine="0pt"/>
              <w:jc w:val="center"/>
              <w:rPr>
                <w:rFonts w:asciiTheme="minorBidi" w:hAnsiTheme="minorBidi" w:cstheme="minorBidi"/>
                <w:sz w:val="16"/>
                <w:szCs w:val="16"/>
                <w:lang w:val="en-US"/>
              </w:rPr>
            </w:pPr>
            <m:oMathPara>
              <m:oMath>
                <m:d>
                  <m:dPr>
                    <m:begChr m:val="["/>
                    <m:endChr m:val="]"/>
                    <m:ctrlPr>
                      <w:rPr>
                        <w:rFonts w:ascii="Cambria Math" w:hAnsi="Cambria Math" w:cstheme="minorBidi"/>
                        <w:i/>
                        <w:sz w:val="14"/>
                        <w:szCs w:val="14"/>
                        <w:lang w:val="en-US"/>
                      </w:rPr>
                    </m:ctrlPr>
                  </m:dPr>
                  <m:e>
                    <m:r>
                      <w:rPr>
                        <w:rFonts w:ascii="Cambria Math" w:hAnsi="Cambria Math" w:cstheme="minorBidi"/>
                        <w:sz w:val="14"/>
                        <w:szCs w:val="14"/>
                        <w:lang w:val="en-US"/>
                      </w:rPr>
                      <m:t>67%+33%</m:t>
                    </m:r>
                    <m:f>
                      <m:fPr>
                        <m:ctrlPr>
                          <w:rPr>
                            <w:rFonts w:ascii="Cambria Math" w:hAnsi="Cambria Math" w:cstheme="minorBidi"/>
                            <w:i/>
                            <w:sz w:val="14"/>
                            <w:szCs w:val="14"/>
                            <w:lang w:val="en-US"/>
                          </w:rPr>
                        </m:ctrlPr>
                      </m:fPr>
                      <m:num>
                        <m:r>
                          <w:rPr>
                            <w:rFonts w:ascii="Cambria Math" w:hAnsi="Cambria Math" w:cstheme="minorBidi"/>
                            <w:sz w:val="14"/>
                            <w:szCs w:val="14"/>
                            <w:lang w:val="en-US"/>
                          </w:rPr>
                          <m:t>1+</m:t>
                        </m:r>
                        <m:r>
                          <m:rPr>
                            <m:sty m:val="p"/>
                          </m:rPr>
                          <w:rPr>
                            <w:rFonts w:ascii="Cambria Math" w:hAnsi="Cambria Math" w:cstheme="minorBidi"/>
                            <w:sz w:val="14"/>
                            <w:szCs w:val="14"/>
                            <w:lang w:val="en-US"/>
                          </w:rPr>
                          <m:t>sin⁡</m:t>
                        </m:r>
                        <m:r>
                          <w:rPr>
                            <w:rFonts w:ascii="Cambria Math" w:hAnsi="Cambria Math" w:cstheme="minorBidi"/>
                            <w:sz w:val="14"/>
                            <w:szCs w:val="14"/>
                            <w:lang w:val="en-US"/>
                          </w:rPr>
                          <m:t>(θ)</m:t>
                        </m:r>
                      </m:num>
                      <m:den>
                        <m:r>
                          <w:rPr>
                            <w:rFonts w:ascii="Cambria Math" w:hAnsi="Cambria Math" w:cstheme="minorBidi"/>
                            <w:sz w:val="14"/>
                            <w:szCs w:val="14"/>
                            <w:lang w:val="en-US"/>
                          </w:rPr>
                          <m:t>1+</m:t>
                        </m:r>
                        <m:r>
                          <m:rPr>
                            <m:sty m:val="p"/>
                          </m:rPr>
                          <w:rPr>
                            <w:rFonts w:ascii="Cambria Math" w:hAnsi="Cambria Math" w:cstheme="minorBidi"/>
                            <w:sz w:val="14"/>
                            <w:szCs w:val="14"/>
                            <w:lang w:val="en-US"/>
                          </w:rPr>
                          <m:t>sin⁡</m:t>
                        </m:r>
                        <m:r>
                          <w:rPr>
                            <w:rFonts w:ascii="Cambria Math" w:hAnsi="Cambria Math" w:cstheme="minorBidi"/>
                            <w:sz w:val="14"/>
                            <w:szCs w:val="14"/>
                            <w:lang w:val="en-US"/>
                          </w:rPr>
                          <m:t>(lat)</m:t>
                        </m:r>
                      </m:den>
                    </m:f>
                  </m:e>
                </m:d>
              </m:oMath>
            </m:oMathPara>
          </w:p>
        </w:tc>
        <w:tc>
          <w:tcPr>
            <w:tcW w:w="101.10pt" w:type="dxa"/>
            <w:tcBorders>
              <w:bottom w:val="nil"/>
            </w:tcBorders>
          </w:tcPr>
          <w:p w14:paraId="41B0B6D4" w14:textId="31B9E513" w:rsidR="00435685" w:rsidRDefault="00435685" w:rsidP="005C1749">
            <w:pPr>
              <w:pStyle w:val="BodyText"/>
              <w:tabs>
                <w:tab w:val="clear" w:pos="14.40pt"/>
              </w:tabs>
              <w:ind w:firstLine="0pt"/>
              <w:jc w:val="center"/>
              <w:rPr>
                <w:rFonts w:asciiTheme="minorBidi" w:hAnsiTheme="minorBidi" w:cstheme="minorBidi"/>
                <w:sz w:val="16"/>
                <w:szCs w:val="16"/>
                <w:lang w:val="en-US"/>
              </w:rPr>
            </w:pPr>
            <w:r w:rsidRPr="00435685">
              <w:rPr>
                <w:rFonts w:asciiTheme="minorBidi" w:hAnsiTheme="minorBidi" w:cstheme="minorBidi"/>
                <w:sz w:val="16"/>
                <w:szCs w:val="16"/>
                <w:lang w:val="en-US"/>
              </w:rPr>
              <w:t xml:space="preserve">NREL Structural BOS × </w:t>
            </w:r>
          </w:p>
          <w:p w14:paraId="78B27397" w14:textId="37A1A10F" w:rsidR="0041157E" w:rsidRPr="00435685" w:rsidRDefault="0041157E" w:rsidP="005C1749">
            <w:pPr>
              <w:pStyle w:val="BodyText"/>
              <w:tabs>
                <w:tab w:val="clear" w:pos="14.40pt"/>
              </w:tabs>
              <w:ind w:firstLine="0pt"/>
              <w:jc w:val="center"/>
              <w:rPr>
                <w:rFonts w:asciiTheme="minorBidi" w:hAnsiTheme="minorBidi" w:cstheme="minorBidi"/>
                <w:sz w:val="16"/>
                <w:szCs w:val="16"/>
                <w:lang w:val="en-US"/>
              </w:rPr>
            </w:pPr>
            <m:oMathPara>
              <m:oMath>
                <m:r>
                  <w:rPr>
                    <w:rFonts w:ascii="Cambria Math" w:hAnsi="Cambria Math" w:cstheme="minorBidi"/>
                    <w:sz w:val="16"/>
                    <w:szCs w:val="16"/>
                    <w:lang w:val="en-US"/>
                  </w:rPr>
                  <m:t>[34%+66%(1+</m:t>
                </m:r>
                <m:func>
                  <m:funcPr>
                    <m:ctrlPr>
                      <w:rPr>
                        <w:rFonts w:ascii="Cambria Math" w:hAnsi="Cambria Math" w:cstheme="minorBidi"/>
                        <w:sz w:val="16"/>
                        <w:szCs w:val="16"/>
                        <w:lang w:val="en-US"/>
                      </w:rPr>
                    </m:ctrlPr>
                  </m:funcPr>
                  <m:fName>
                    <m:r>
                      <m:rPr>
                        <m:sty m:val="p"/>
                      </m:rPr>
                      <w:rPr>
                        <w:rFonts w:ascii="Cambria Math" w:hAnsi="Cambria Math" w:cstheme="minorBidi"/>
                        <w:sz w:val="16"/>
                        <w:szCs w:val="16"/>
                        <w:lang w:val="en-US"/>
                      </w:rPr>
                      <m:t>sin</m:t>
                    </m:r>
                    <m:ctrlPr>
                      <w:rPr>
                        <w:rFonts w:ascii="Cambria Math" w:hAnsi="Cambria Math" w:cstheme="minorBidi"/>
                        <w:i/>
                        <w:sz w:val="16"/>
                        <w:szCs w:val="16"/>
                        <w:lang w:val="en-US"/>
                      </w:rPr>
                    </m:ctrlPr>
                  </m:fName>
                  <m:e>
                    <m:d>
                      <m:dPr>
                        <m:ctrlPr>
                          <w:rPr>
                            <w:rFonts w:ascii="Cambria Math" w:hAnsi="Cambria Math" w:cstheme="minorBidi"/>
                            <w:i/>
                            <w:sz w:val="16"/>
                            <w:szCs w:val="16"/>
                            <w:lang w:val="en-US"/>
                          </w:rPr>
                        </m:ctrlPr>
                      </m:dPr>
                      <m:e>
                        <m:r>
                          <w:rPr>
                            <w:rFonts w:ascii="Cambria Math" w:hAnsi="Cambria Math" w:cstheme="minorBidi"/>
                            <w:sz w:val="16"/>
                            <w:szCs w:val="16"/>
                            <w:lang w:val="en-US"/>
                          </w:rPr>
                          <m:t>θ</m:t>
                        </m:r>
                      </m:e>
                    </m:d>
                  </m:e>
                </m:func>
                <m:r>
                  <w:rPr>
                    <w:rFonts w:ascii="Cambria Math" w:hAnsi="Cambria Math" w:cstheme="minorBidi"/>
                    <w:sz w:val="16"/>
                    <w:szCs w:val="16"/>
                    <w:lang w:val="en-US"/>
                  </w:rPr>
                  <m:t>]</m:t>
                </m:r>
              </m:oMath>
            </m:oMathPara>
          </w:p>
        </w:tc>
      </w:tr>
      <w:tr w:rsidR="008F5908" w:rsidRPr="00435685" w14:paraId="39BF6A62" w14:textId="77777777" w:rsidTr="005C1749">
        <w:tc>
          <w:tcPr>
            <w:tcW w:w="53.50pt" w:type="dxa"/>
            <w:tcBorders>
              <w:top w:val="nil"/>
            </w:tcBorders>
          </w:tcPr>
          <w:p w14:paraId="10DE59B7" w14:textId="77777777" w:rsidR="00435685" w:rsidRPr="00435685" w:rsidRDefault="00435685" w:rsidP="00435685">
            <w:pPr>
              <w:pStyle w:val="BodyText"/>
              <w:tabs>
                <w:tab w:val="clear" w:pos="14.40pt"/>
              </w:tabs>
              <w:ind w:firstLine="0pt"/>
              <w:jc w:val="start"/>
              <w:rPr>
                <w:rFonts w:asciiTheme="minorBidi" w:hAnsiTheme="minorBidi" w:cstheme="minorBidi"/>
                <w:sz w:val="16"/>
                <w:szCs w:val="16"/>
                <w:lang w:val="en-US"/>
              </w:rPr>
            </w:pPr>
            <w:r w:rsidRPr="00435685">
              <w:rPr>
                <w:rFonts w:asciiTheme="minorBidi" w:hAnsiTheme="minorBidi" w:cstheme="minorBidi"/>
                <w:sz w:val="16"/>
                <w:szCs w:val="16"/>
                <w:lang w:val="en-US"/>
              </w:rPr>
              <w:t>All other</w:t>
            </w:r>
          </w:p>
        </w:tc>
        <w:tc>
          <w:tcPr>
            <w:tcW w:w="96.55pt" w:type="dxa"/>
            <w:tcBorders>
              <w:top w:val="nil"/>
            </w:tcBorders>
          </w:tcPr>
          <w:p w14:paraId="3D248C09" w14:textId="77777777" w:rsidR="00435685" w:rsidRPr="00435685" w:rsidRDefault="00435685" w:rsidP="005C1749">
            <w:pPr>
              <w:pStyle w:val="BodyText"/>
              <w:tabs>
                <w:tab w:val="clear" w:pos="14.40pt"/>
              </w:tabs>
              <w:ind w:firstLine="0pt"/>
              <w:jc w:val="center"/>
              <w:rPr>
                <w:rFonts w:asciiTheme="minorBidi" w:hAnsiTheme="minorBidi" w:cstheme="minorBidi"/>
                <w:sz w:val="16"/>
                <w:szCs w:val="16"/>
                <w:lang w:val="en-US"/>
              </w:rPr>
            </w:pPr>
            <w:r w:rsidRPr="00435685">
              <w:rPr>
                <w:rFonts w:asciiTheme="minorBidi" w:hAnsiTheme="minorBidi" w:cstheme="minorBidi"/>
                <w:sz w:val="16"/>
                <w:szCs w:val="16"/>
                <w:lang w:val="en-US"/>
              </w:rPr>
              <w:t>Per Fig. 3</w:t>
            </w:r>
          </w:p>
        </w:tc>
        <w:tc>
          <w:tcPr>
            <w:tcW w:w="101.10pt" w:type="dxa"/>
            <w:tcBorders>
              <w:top w:val="nil"/>
            </w:tcBorders>
          </w:tcPr>
          <w:p w14:paraId="3E1D04D8" w14:textId="77777777" w:rsidR="00435685" w:rsidRPr="00435685" w:rsidRDefault="00435685" w:rsidP="005C1749">
            <w:pPr>
              <w:pStyle w:val="BodyText"/>
              <w:tabs>
                <w:tab w:val="clear" w:pos="14.40pt"/>
              </w:tabs>
              <w:ind w:firstLine="0pt"/>
              <w:jc w:val="center"/>
              <w:rPr>
                <w:rFonts w:asciiTheme="minorBidi" w:hAnsiTheme="minorBidi" w:cstheme="minorBidi"/>
                <w:sz w:val="16"/>
                <w:szCs w:val="16"/>
                <w:lang w:val="en-US"/>
              </w:rPr>
            </w:pPr>
            <w:r w:rsidRPr="00435685">
              <w:rPr>
                <w:rFonts w:asciiTheme="minorBidi" w:hAnsiTheme="minorBidi" w:cstheme="minorBidi"/>
                <w:sz w:val="16"/>
                <w:szCs w:val="16"/>
                <w:lang w:val="en-US"/>
              </w:rPr>
              <w:t>Per Fig. 3</w:t>
            </w:r>
          </w:p>
        </w:tc>
      </w:tr>
    </w:tbl>
    <w:p w14:paraId="4BB7BD86" w14:textId="3000CB0B" w:rsidR="00466C9D" w:rsidRDefault="00484DE6" w:rsidP="00E043CF">
      <w:pPr>
        <w:pStyle w:val="BodyText"/>
        <w:rPr>
          <w:lang w:val="en-US"/>
        </w:rPr>
      </w:pPr>
      <w:r>
        <w:rPr>
          <w:lang w:val="en-US"/>
        </w:rPr>
        <w:t>The resulting statewide estimate of the PV capacity factor</w:t>
      </w:r>
      <w:r w:rsidR="00A17B0D">
        <w:rPr>
          <w:lang w:val="en-US"/>
        </w:rPr>
        <w:t>,</w:t>
      </w:r>
      <w:r>
        <w:rPr>
          <w:lang w:val="en-US"/>
        </w:rPr>
        <w:t xml:space="preserve"> statewide estimated PV Capex</w:t>
      </w:r>
      <w:r w:rsidR="0059699F">
        <w:rPr>
          <w:lang w:val="en-US"/>
        </w:rPr>
        <w:t xml:space="preserve"> (per W</w:t>
      </w:r>
      <w:r w:rsidR="0059699F" w:rsidRPr="001B6751">
        <w:rPr>
          <w:vertAlign w:val="subscript"/>
          <w:lang w:val="en-US"/>
        </w:rPr>
        <w:t>DC</w:t>
      </w:r>
      <w:r w:rsidR="0059699F">
        <w:rPr>
          <w:lang w:val="en-US"/>
        </w:rPr>
        <w:t xml:space="preserve"> installed)</w:t>
      </w:r>
      <w:r w:rsidR="00A17B0D">
        <w:rPr>
          <w:lang w:val="en-US"/>
        </w:rPr>
        <w:t>, and ratio of capacity factor to Capex are</w:t>
      </w:r>
      <w:r w:rsidR="0059699F">
        <w:rPr>
          <w:lang w:val="en-US"/>
        </w:rPr>
        <w:t xml:space="preserve"> shown in Fig. </w:t>
      </w:r>
      <w:r w:rsidR="000A06E1">
        <w:rPr>
          <w:lang w:val="en-US"/>
        </w:rPr>
        <w:t>5</w:t>
      </w:r>
      <w:r w:rsidR="0059699F">
        <w:rPr>
          <w:lang w:val="en-US"/>
        </w:rPr>
        <w:t xml:space="preserve">. Here capacity factor is defined as [annual </w:t>
      </w:r>
      <w:r w:rsidR="00192219">
        <w:rPr>
          <w:lang w:val="en-US"/>
        </w:rPr>
        <w:t xml:space="preserve">AC </w:t>
      </w:r>
      <w:r w:rsidR="0059699F">
        <w:rPr>
          <w:lang w:val="en-US"/>
        </w:rPr>
        <w:t>generation]/[nameplate capacity × 8760] and nameplate capacity is the total DC rating of the modules in the system</w:t>
      </w:r>
      <w:r w:rsidR="000A06E1">
        <w:rPr>
          <w:lang w:val="en-US"/>
        </w:rPr>
        <w:t xml:space="preserve">, consistent with the definitions </w:t>
      </w:r>
      <w:r w:rsidR="00682321">
        <w:rPr>
          <w:lang w:val="en-US"/>
        </w:rPr>
        <w:t>used by SAM</w:t>
      </w:r>
      <w:r w:rsidR="0059699F">
        <w:rPr>
          <w:lang w:val="en-US"/>
        </w:rPr>
        <w:t xml:space="preserve">. </w:t>
      </w:r>
      <w:r w:rsidR="00B3609A">
        <w:rPr>
          <w:lang w:val="en-US"/>
        </w:rPr>
        <w:t>T</w:t>
      </w:r>
      <w:r w:rsidR="0059699F">
        <w:rPr>
          <w:lang w:val="en-US"/>
        </w:rPr>
        <w:t>he ratio of capacity factor to Capex</w:t>
      </w:r>
      <w:r w:rsidR="00B3609A">
        <w:rPr>
          <w:lang w:val="en-US"/>
        </w:rPr>
        <w:t xml:space="preserve"> is </w:t>
      </w:r>
      <w:r w:rsidR="0059699F">
        <w:rPr>
          <w:lang w:val="en-US"/>
        </w:rPr>
        <w:t xml:space="preserve">a measure of “bang for the buck” for each configuration. The </w:t>
      </w:r>
      <w:r w:rsidR="00BF5F4C">
        <w:rPr>
          <w:lang w:val="en-US"/>
        </w:rPr>
        <w:t xml:space="preserve">Tr0 </w:t>
      </w:r>
      <w:r w:rsidR="0059699F">
        <w:rPr>
          <w:lang w:val="en-US"/>
        </w:rPr>
        <w:t>configuration increases the Capex per W</w:t>
      </w:r>
      <w:r w:rsidR="0059699F" w:rsidRPr="0059699F">
        <w:rPr>
          <w:vertAlign w:val="subscript"/>
          <w:lang w:val="en-US"/>
        </w:rPr>
        <w:t>DC</w:t>
      </w:r>
      <w:r w:rsidR="0059699F">
        <w:rPr>
          <w:lang w:val="en-US"/>
        </w:rPr>
        <w:t xml:space="preserve"> by ~7% but increases the capacity factor by ~</w:t>
      </w:r>
      <w:r w:rsidR="00B3609A">
        <w:rPr>
          <w:lang w:val="en-US"/>
        </w:rPr>
        <w:t>20</w:t>
      </w:r>
      <w:r w:rsidR="0059699F">
        <w:rPr>
          <w:lang w:val="en-US"/>
        </w:rPr>
        <w:t xml:space="preserve">% compared to the </w:t>
      </w:r>
      <w:r w:rsidR="00BF5F4C">
        <w:rPr>
          <w:lang w:val="en-US"/>
        </w:rPr>
        <w:t xml:space="preserve">FxL+15 </w:t>
      </w:r>
      <w:r w:rsidR="0059699F">
        <w:rPr>
          <w:lang w:val="en-US"/>
        </w:rPr>
        <w:t xml:space="preserve">configuration, </w:t>
      </w:r>
      <w:r w:rsidR="00B3609A">
        <w:rPr>
          <w:lang w:val="en-US"/>
        </w:rPr>
        <w:t xml:space="preserve">and has the highest ratio of all the configurations considered, </w:t>
      </w:r>
      <w:r w:rsidR="0059699F">
        <w:rPr>
          <w:lang w:val="en-US"/>
        </w:rPr>
        <w:t xml:space="preserve">so it is to be expected that the vast majority of utility-scale PV systems being installed use the </w:t>
      </w:r>
      <w:r w:rsidR="00BF5F4C">
        <w:rPr>
          <w:lang w:val="en-US"/>
        </w:rPr>
        <w:t xml:space="preserve">Tr0 </w:t>
      </w:r>
      <w:r w:rsidR="0059699F">
        <w:rPr>
          <w:lang w:val="en-US"/>
        </w:rPr>
        <w:t>configuration, as is the observed reality</w:t>
      </w:r>
      <w:r w:rsidR="000A06E1">
        <w:rPr>
          <w:lang w:val="en-US"/>
        </w:rPr>
        <w:t xml:space="preserve"> (</w:t>
      </w:r>
      <w:r w:rsidR="00AA7945">
        <w:rPr>
          <w:lang w:val="en-US"/>
        </w:rPr>
        <w:t xml:space="preserve">see ref. </w:t>
      </w:r>
      <w:r w:rsidR="00186F9C">
        <w:rPr>
          <w:lang w:val="en-US"/>
        </w:rPr>
        <w:t>18</w:t>
      </w:r>
      <w:r w:rsidR="000A06E1">
        <w:rPr>
          <w:lang w:val="en-US"/>
        </w:rPr>
        <w:t xml:space="preserve">), </w:t>
      </w:r>
      <w:r w:rsidR="0059699F">
        <w:rPr>
          <w:lang w:val="en-US"/>
        </w:rPr>
        <w:t xml:space="preserve">since under current </w:t>
      </w:r>
      <w:r w:rsidR="00B539B0">
        <w:rPr>
          <w:lang w:val="en-US"/>
        </w:rPr>
        <w:t>Power Purchase Agreement (</w:t>
      </w:r>
      <w:r w:rsidR="0059699F">
        <w:rPr>
          <w:lang w:val="en-US"/>
        </w:rPr>
        <w:t>PPA</w:t>
      </w:r>
      <w:r w:rsidR="00B539B0">
        <w:rPr>
          <w:lang w:val="en-US"/>
        </w:rPr>
        <w:t>)</w:t>
      </w:r>
      <w:r w:rsidR="0059699F">
        <w:rPr>
          <w:lang w:val="en-US"/>
        </w:rPr>
        <w:t xml:space="preserve"> </w:t>
      </w:r>
      <w:r w:rsidR="00E043CF">
        <w:rPr>
          <w:lang w:val="en-US"/>
        </w:rPr>
        <w:t>pricing s</w:t>
      </w:r>
      <w:r w:rsidR="0059699F">
        <w:rPr>
          <w:lang w:val="en-US"/>
        </w:rPr>
        <w:t>chemes there is no preference for when energy is generated.</w:t>
      </w:r>
      <w:r>
        <w:rPr>
          <w:lang w:val="en-US"/>
        </w:rPr>
        <w:t xml:space="preserve"> </w:t>
      </w:r>
    </w:p>
    <w:p w14:paraId="2ED6F166" w14:textId="16E1AEB6" w:rsidR="009303D9" w:rsidRPr="00A356A6" w:rsidRDefault="00BE7D2B" w:rsidP="000652EF">
      <w:pPr>
        <w:pStyle w:val="Heading2"/>
      </w:pPr>
      <w:r>
        <w:t>Statewide Energy Balance</w:t>
      </w:r>
    </w:p>
    <w:p w14:paraId="157A802F" w14:textId="6E8B7F8D" w:rsidR="006250C7" w:rsidRDefault="007E468C" w:rsidP="00063A93">
      <w:pPr>
        <w:pStyle w:val="BodyText"/>
        <w:rPr>
          <w:lang w:val="en-US"/>
        </w:rPr>
      </w:pPr>
      <w:r>
        <w:t xml:space="preserve">The analysis </w:t>
      </w:r>
      <w:r w:rsidR="00BE7D2B">
        <w:rPr>
          <w:lang w:val="en-US"/>
        </w:rPr>
        <w:t xml:space="preserve">of energy balance considers only the PV generator configurations and the statewide load profile </w:t>
      </w:r>
      <w:r w:rsidR="006250C7">
        <w:rPr>
          <w:lang w:val="en-US"/>
        </w:rPr>
        <w:t xml:space="preserve">in </w:t>
      </w:r>
      <w:r w:rsidR="00063A93" w:rsidRPr="00063A93">
        <w:rPr>
          <w:lang w:val="en-US"/>
        </w:rPr>
        <w:t xml:space="preserve"> </w:t>
      </w:r>
      <w:r w:rsidR="006250C7">
        <w:rPr>
          <w:lang w:val="en-US"/>
        </w:rPr>
        <w:t xml:space="preserve">isolation, with the 2019 CAISO statewide load profile normalized to an average demand of 1 W (and thus 8760 Wh per year); as a result, the computed PV generation and PV capacity are also normalized per </w:t>
      </w:r>
      <w:r w:rsidR="00E94B08">
        <w:rPr>
          <w:lang w:val="en-US"/>
        </w:rPr>
        <w:t>watt of average load</w:t>
      </w:r>
      <w:r w:rsidR="006250C7">
        <w:rPr>
          <w:lang w:val="en-US"/>
        </w:rPr>
        <w:t xml:space="preserve">. There is no attempt to account for any other generation such as from wind, hydro, </w:t>
      </w:r>
      <w:r w:rsidR="005D2AE0">
        <w:rPr>
          <w:noProof/>
          <w:lang w:val="en-US"/>
        </w:rPr>
        <w:lastRenderedPageBreak/>
        <w:drawing>
          <wp:inline distT="0" distB="0" distL="0" distR="0" wp14:anchorId="0A45D501" wp14:editId="3DE3FDC7">
            <wp:extent cx="3213100" cy="2615565"/>
            <wp:effectExtent l="0" t="0" r="0" b="0"/>
            <wp:docPr id="49" name="Picture 4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13100" cy="2615565"/>
                    </a:xfrm>
                    <a:prstGeom prst="rect">
                      <a:avLst/>
                    </a:prstGeom>
                    <a:noFill/>
                  </pic:spPr>
                </pic:pic>
              </a:graphicData>
            </a:graphic>
          </wp:inline>
        </w:drawing>
      </w:r>
      <w:r w:rsidR="006250C7">
        <w:rPr>
          <w:lang w:val="en-US"/>
        </w:rPr>
        <w:t xml:space="preserve">biomass, etc., but rather, the analysis </w:t>
      </w:r>
      <w:r>
        <w:t xml:space="preserve">presented here </w:t>
      </w:r>
      <w:r w:rsidR="006250C7">
        <w:rPr>
          <w:lang w:val="en-US"/>
        </w:rPr>
        <w:t xml:space="preserve">just considers purely the ability of the various PV configurations to serve the load (with the hourly shape observed in California) with varying amounts of storage. </w:t>
      </w:r>
      <w:r w:rsidR="00A3756D">
        <w:rPr>
          <w:lang w:val="en-US"/>
        </w:rPr>
        <w:t>The</w:t>
      </w:r>
      <w:r w:rsidR="00F270E9">
        <w:rPr>
          <w:lang w:val="en-US"/>
        </w:rPr>
        <w:t xml:space="preserve"> </w:t>
      </w:r>
      <w:r w:rsidR="00E97A88">
        <w:rPr>
          <w:lang w:val="en-US"/>
        </w:rPr>
        <w:t>storage is also treated on a statewide basis, with no constraints related to transmission</w:t>
      </w:r>
      <w:r w:rsidR="000A06E1">
        <w:rPr>
          <w:lang w:val="en-US"/>
        </w:rPr>
        <w:t xml:space="preserve"> or</w:t>
      </w:r>
      <w:r w:rsidR="00E97A88">
        <w:rPr>
          <w:lang w:val="en-US"/>
        </w:rPr>
        <w:t xml:space="preserve"> congestion</w:t>
      </w:r>
      <w:r w:rsidR="006250C7">
        <w:rPr>
          <w:lang w:val="en-US"/>
        </w:rPr>
        <w:t>.</w:t>
      </w:r>
    </w:p>
    <w:p w14:paraId="64F9EAFF" w14:textId="77777777" w:rsidR="00FE2C65" w:rsidRDefault="00FE2C65" w:rsidP="00FE2C65">
      <w:pPr>
        <w:pStyle w:val="BodyText"/>
        <w:rPr>
          <w:lang w:val="en-US"/>
        </w:rPr>
      </w:pPr>
      <w:r>
        <w:rPr>
          <w:lang w:val="en-US"/>
        </w:rPr>
        <w:t xml:space="preserve">For each hour </w:t>
      </w:r>
      <w:proofErr w:type="spellStart"/>
      <w:r w:rsidRPr="00226953">
        <w:rPr>
          <w:rFonts w:asciiTheme="majorBidi" w:hAnsiTheme="majorBidi" w:cstheme="majorBidi"/>
          <w:i/>
          <w:iCs/>
          <w:lang w:val="en-US"/>
        </w:rPr>
        <w:t>t</w:t>
      </w:r>
      <w:proofErr w:type="spellEnd"/>
      <w:r>
        <w:rPr>
          <w:lang w:val="en-US"/>
        </w:rPr>
        <w:t xml:space="preserve"> the storage charge state </w:t>
      </w:r>
      <w:r w:rsidRPr="00226953">
        <w:rPr>
          <w:rFonts w:asciiTheme="majorBidi" w:hAnsiTheme="majorBidi" w:cstheme="majorBidi"/>
          <w:i/>
          <w:iCs/>
          <w:lang w:val="en-US"/>
        </w:rPr>
        <w:t>s</w:t>
      </w:r>
      <w:r w:rsidRPr="00AE2837">
        <w:rPr>
          <w:rFonts w:asciiTheme="majorBidi" w:hAnsiTheme="majorBidi" w:cstheme="majorBidi"/>
          <w:i/>
          <w:iCs/>
          <w:vertAlign w:val="subscript"/>
          <w:lang w:val="en-US"/>
        </w:rPr>
        <w:t>t</w:t>
      </w:r>
      <w:r>
        <w:rPr>
          <w:lang w:val="en-US"/>
        </w:rPr>
        <w:t xml:space="preserve"> is calculated from the hourly generation </w:t>
      </w:r>
      <w:r w:rsidRPr="00226953">
        <w:rPr>
          <w:i/>
          <w:iCs/>
          <w:lang w:val="en-US"/>
        </w:rPr>
        <w:t>G</w:t>
      </w:r>
      <w:r w:rsidRPr="00AE2837">
        <w:rPr>
          <w:i/>
          <w:iCs/>
          <w:vertAlign w:val="subscript"/>
          <w:lang w:val="en-US"/>
        </w:rPr>
        <w:t>t</w:t>
      </w:r>
      <w:r>
        <w:rPr>
          <w:lang w:val="en-US"/>
        </w:rPr>
        <w:t xml:space="preserve"> and load </w:t>
      </w:r>
      <w:r w:rsidRPr="00226953">
        <w:rPr>
          <w:i/>
          <w:iCs/>
          <w:lang w:val="en-US"/>
        </w:rPr>
        <w:t>L</w:t>
      </w:r>
      <w:r w:rsidRPr="00AE2837">
        <w:rPr>
          <w:i/>
          <w:iCs/>
          <w:vertAlign w:val="subscript"/>
          <w:lang w:val="en-US"/>
        </w:rPr>
        <w:t>t</w:t>
      </w:r>
      <w:r>
        <w:rPr>
          <w:lang w:val="en-US"/>
        </w:rPr>
        <w:t xml:space="preserve"> with the following formulation (here </w:t>
      </w:r>
      <w:r w:rsidRPr="009C5F60">
        <w:rPr>
          <w:i/>
          <w:iCs/>
          <w:lang w:val="en-US"/>
        </w:rPr>
        <w:t>C</w:t>
      </w:r>
      <w:r w:rsidRPr="009C5F60">
        <w:rPr>
          <w:i/>
          <w:iCs/>
          <w:vertAlign w:val="subscript"/>
          <w:lang w:val="en-US"/>
        </w:rPr>
        <w:t>s</w:t>
      </w:r>
      <w:r>
        <w:rPr>
          <w:lang w:val="en-US"/>
        </w:rPr>
        <w:t xml:space="preserve"> is the storage capacity, </w:t>
      </w:r>
      <w:r w:rsidRPr="009C5F60">
        <w:rPr>
          <w:i/>
          <w:iCs/>
          <w:lang w:val="en-US"/>
        </w:rPr>
        <w:t>η</w:t>
      </w:r>
      <w:r w:rsidRPr="00226953">
        <w:rPr>
          <w:i/>
          <w:iCs/>
          <w:vertAlign w:val="subscript"/>
          <w:lang w:val="en-US"/>
        </w:rPr>
        <w:t>c</w:t>
      </w:r>
      <w:r>
        <w:rPr>
          <w:lang w:val="en-US"/>
        </w:rPr>
        <w:t xml:space="preserve"> and </w:t>
      </w:r>
      <w:r w:rsidRPr="009C5F60">
        <w:rPr>
          <w:i/>
          <w:iCs/>
          <w:lang w:val="en-US"/>
        </w:rPr>
        <w:t>η</w:t>
      </w:r>
      <w:r w:rsidRPr="00226953">
        <w:rPr>
          <w:i/>
          <w:iCs/>
          <w:vertAlign w:val="subscript"/>
          <w:lang w:val="en-US"/>
        </w:rPr>
        <w:t>d</w:t>
      </w:r>
      <w:r>
        <w:rPr>
          <w:lang w:val="en-US"/>
        </w:rPr>
        <w:t xml:space="preserve"> are the efficiency of charging and discharging, and </w:t>
      </w:r>
      <w:proofErr w:type="spellStart"/>
      <w:r w:rsidRPr="00226953">
        <w:rPr>
          <w:i/>
          <w:iCs/>
          <w:lang w:val="en-US"/>
        </w:rPr>
        <w:t>r</w:t>
      </w:r>
      <w:r w:rsidRPr="00226953">
        <w:rPr>
          <w:i/>
          <w:iCs/>
          <w:vertAlign w:val="subscript"/>
          <w:lang w:val="en-US"/>
        </w:rPr>
        <w:t>sd</w:t>
      </w:r>
      <w:proofErr w:type="spellEnd"/>
      <w:r>
        <w:rPr>
          <w:lang w:val="en-US"/>
        </w:rPr>
        <w:t xml:space="preserve"> is the self-discharge rate). Charging occurs when </w:t>
      </w:r>
      <w:r w:rsidRPr="00AE2837">
        <w:rPr>
          <w:i/>
          <w:iCs/>
          <w:lang w:val="en-US"/>
        </w:rPr>
        <w:t>G</w:t>
      </w:r>
      <w:r w:rsidRPr="00AE2837">
        <w:rPr>
          <w:i/>
          <w:iCs/>
          <w:vertAlign w:val="subscript"/>
          <w:lang w:val="en-US"/>
        </w:rPr>
        <w:t>t</w:t>
      </w:r>
      <w:r>
        <w:rPr>
          <w:lang w:val="en-US"/>
        </w:rPr>
        <w:t xml:space="preserve"> &gt; </w:t>
      </w:r>
      <w:r w:rsidRPr="00AE2837">
        <w:rPr>
          <w:i/>
          <w:iCs/>
          <w:lang w:val="en-US"/>
        </w:rPr>
        <w:t>L</w:t>
      </w:r>
      <w:r w:rsidRPr="00AE2837">
        <w:rPr>
          <w:i/>
          <w:iCs/>
          <w:vertAlign w:val="subscript"/>
          <w:lang w:val="en-US"/>
        </w:rPr>
        <w:t>t</w:t>
      </w:r>
      <w:r>
        <w:rPr>
          <w:lang w:val="en-US"/>
        </w:rPr>
        <w:t xml:space="preserve"> according to:</w:t>
      </w:r>
    </w:p>
    <w:tbl>
      <w:tblPr>
        <w:tblStyle w:val="TableGrid"/>
        <w:tblW w:w="252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593"/>
        <w:gridCol w:w="447"/>
      </w:tblGrid>
      <w:tr w:rsidR="00FE2C65" w:rsidRPr="004A7B2B" w14:paraId="7105CCCC" w14:textId="77777777" w:rsidTr="002F1D1B">
        <w:tc>
          <w:tcPr>
            <w:tcW w:w="234pt" w:type="dxa"/>
            <w:vAlign w:val="center"/>
          </w:tcPr>
          <w:p w14:paraId="62B92B0D" w14:textId="77777777" w:rsidR="00FE2C65" w:rsidRPr="004A7B2B" w:rsidRDefault="00FE2C65" w:rsidP="002F1D1B">
            <w:pPr>
              <w:pStyle w:val="BodyText"/>
              <w:tabs>
                <w:tab w:val="clear" w:pos="14.40pt"/>
              </w:tabs>
              <w:ind w:firstLine="0pt"/>
              <w:jc w:val="center"/>
              <w:rPr>
                <w:lang w:val="en-US"/>
              </w:rPr>
            </w:pPr>
            <m:oMathPara>
              <m:oMath>
                <m:sSub>
                  <m:sSubPr>
                    <m:ctrlPr>
                      <w:rPr>
                        <w:rFonts w:ascii="Cambria Math" w:hAnsi="Cambria Math"/>
                        <w:i/>
                        <w:sz w:val="18"/>
                        <w:szCs w:val="18"/>
                        <w:lang w:val="en-US"/>
                      </w:rPr>
                    </m:ctrlPr>
                  </m:sSubPr>
                  <m:e>
                    <m:r>
                      <w:rPr>
                        <w:rFonts w:ascii="Cambria Math" w:hAnsi="Cambria Math"/>
                        <w:sz w:val="18"/>
                        <w:szCs w:val="18"/>
                        <w:lang w:val="en-US"/>
                      </w:rPr>
                      <m:t>s</m:t>
                    </m:r>
                  </m:e>
                  <m:sub>
                    <m:r>
                      <w:rPr>
                        <w:rFonts w:ascii="Cambria Math" w:hAnsi="Cambria Math"/>
                        <w:sz w:val="18"/>
                        <w:szCs w:val="18"/>
                        <w:lang w:val="en-US"/>
                      </w:rPr>
                      <m:t>t</m:t>
                    </m:r>
                  </m:sub>
                </m:sSub>
                <m:r>
                  <w:rPr>
                    <w:rFonts w:ascii="Cambria Math" w:hAnsi="Cambria Math"/>
                    <w:sz w:val="18"/>
                    <w:szCs w:val="18"/>
                    <w:lang w:val="en-US"/>
                  </w:rPr>
                  <m:t>=</m:t>
                </m:r>
                <m:d>
                  <m:dPr>
                    <m:begChr m:val="{"/>
                    <m:endChr m:val=""/>
                    <m:ctrlPr>
                      <w:rPr>
                        <w:rFonts w:ascii="Cambria Math" w:hAnsi="Cambria Math"/>
                        <w:i/>
                        <w:sz w:val="18"/>
                        <w:szCs w:val="18"/>
                        <w:lang w:val="en-US"/>
                      </w:rPr>
                    </m:ctrlPr>
                  </m:dPr>
                  <m:e>
                    <m:m>
                      <m:mPr>
                        <m:mcs>
                          <m:mc>
                            <m:mcPr>
                              <m:count m:val="2"/>
                              <m:mcJc m:val="center"/>
                            </m:mcPr>
                          </m:mc>
                        </m:mcs>
                        <m:ctrlPr>
                          <w:rPr>
                            <w:rFonts w:ascii="Cambria Math" w:hAnsi="Cambria Math"/>
                            <w:i/>
                            <w:sz w:val="18"/>
                            <w:szCs w:val="18"/>
                            <w:lang w:val="en-US"/>
                          </w:rPr>
                        </m:ctrlPr>
                      </m:mPr>
                      <m:mr>
                        <m:e>
                          <m:sSub>
                            <m:sSubPr>
                              <m:ctrlPr>
                                <w:rPr>
                                  <w:rFonts w:ascii="Cambria Math" w:hAnsi="Cambria Math"/>
                                  <w:i/>
                                  <w:sz w:val="18"/>
                                  <w:szCs w:val="18"/>
                                  <w:lang w:val="en-US"/>
                                </w:rPr>
                              </m:ctrlPr>
                            </m:sSubPr>
                            <m:e>
                              <m:r>
                                <w:rPr>
                                  <w:rFonts w:ascii="Cambria Math" w:hAnsi="Cambria Math"/>
                                  <w:sz w:val="18"/>
                                  <w:szCs w:val="18"/>
                                  <w:lang w:val="en-US"/>
                                </w:rPr>
                                <m:t>C</m:t>
                              </m:r>
                            </m:e>
                            <m:sub>
                              <m:r>
                                <w:rPr>
                                  <w:rFonts w:ascii="Cambria Math" w:hAnsi="Cambria Math"/>
                                  <w:sz w:val="18"/>
                                  <w:szCs w:val="18"/>
                                  <w:lang w:val="en-US"/>
                                </w:rPr>
                                <m:t>s</m:t>
                              </m:r>
                            </m:sub>
                          </m:sSub>
                        </m:e>
                        <m:e>
                          <m:r>
                            <m:rPr>
                              <m:nor/>
                            </m:rPr>
                            <w:rPr>
                              <w:rFonts w:ascii="Cambria Math" w:hAnsi="Cambria Math"/>
                              <w:sz w:val="18"/>
                              <w:szCs w:val="18"/>
                              <w:lang w:val="en-US"/>
                            </w:rPr>
                            <m:t>if</m:t>
                          </m:r>
                          <m:r>
                            <w:rPr>
                              <w:rFonts w:ascii="Cambria Math" w:hAnsi="Cambria Math"/>
                              <w:sz w:val="18"/>
                              <w:szCs w:val="18"/>
                              <w:lang w:val="en-US"/>
                            </w:rPr>
                            <m:t xml:space="preserve"> </m:t>
                          </m:r>
                          <m:sSub>
                            <m:sSubPr>
                              <m:ctrlPr>
                                <w:rPr>
                                  <w:rFonts w:ascii="Cambria Math" w:hAnsi="Cambria Math"/>
                                  <w:i/>
                                  <w:sz w:val="18"/>
                                  <w:szCs w:val="18"/>
                                  <w:lang w:val="en-US"/>
                                </w:rPr>
                              </m:ctrlPr>
                            </m:sSubPr>
                            <m:e>
                              <m:r>
                                <w:rPr>
                                  <w:rFonts w:ascii="Cambria Math" w:hAnsi="Cambria Math"/>
                                  <w:sz w:val="18"/>
                                  <w:szCs w:val="18"/>
                                  <w:lang w:val="en-US"/>
                                </w:rPr>
                                <m:t>η</m:t>
                              </m:r>
                            </m:e>
                            <m:sub>
                              <m:r>
                                <w:rPr>
                                  <w:rFonts w:ascii="Cambria Math" w:hAnsi="Cambria Math"/>
                                  <w:sz w:val="18"/>
                                  <w:szCs w:val="18"/>
                                  <w:lang w:val="en-US"/>
                                </w:rPr>
                                <m:t>c</m:t>
                              </m:r>
                            </m:sub>
                          </m:sSub>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G</m:t>
                                  </m:r>
                                </m:e>
                                <m:sub>
                                  <m:r>
                                    <w:rPr>
                                      <w:rFonts w:ascii="Cambria Math" w:hAnsi="Cambria Math"/>
                                      <w:sz w:val="18"/>
                                      <w:szCs w:val="18"/>
                                      <w:lang w:val="en-US"/>
                                    </w:rPr>
                                    <m:t>t</m:t>
                                  </m:r>
                                </m:sub>
                              </m:sSub>
                              <m:r>
                                <w:rPr>
                                  <w:rFonts w:ascii="Cambria Math" w:hAnsi="Cambria Math"/>
                                  <w:sz w:val="18"/>
                                  <w:szCs w:val="18"/>
                                  <w:lang w:val="en-US"/>
                                </w:rPr>
                                <m:t>-</m:t>
                              </m:r>
                              <m:sSub>
                                <m:sSubPr>
                                  <m:ctrlPr>
                                    <w:rPr>
                                      <w:rFonts w:ascii="Cambria Math" w:hAnsi="Cambria Math"/>
                                      <w:i/>
                                      <w:sz w:val="18"/>
                                      <w:szCs w:val="18"/>
                                      <w:lang w:val="en-US"/>
                                    </w:rPr>
                                  </m:ctrlPr>
                                </m:sSubPr>
                                <m:e>
                                  <m:r>
                                    <w:rPr>
                                      <w:rFonts w:ascii="Cambria Math" w:hAnsi="Cambria Math"/>
                                      <w:sz w:val="18"/>
                                      <w:szCs w:val="18"/>
                                      <w:lang w:val="en-US"/>
                                    </w:rPr>
                                    <m:t>L</m:t>
                                  </m:r>
                                </m:e>
                                <m:sub>
                                  <m:r>
                                    <w:rPr>
                                      <w:rFonts w:ascii="Cambria Math" w:hAnsi="Cambria Math"/>
                                      <w:sz w:val="18"/>
                                      <w:szCs w:val="18"/>
                                      <w:lang w:val="en-US"/>
                                    </w:rPr>
                                    <m:t>t</m:t>
                                  </m:r>
                                </m:sub>
                              </m:sSub>
                            </m:e>
                          </m:d>
                          <m:r>
                            <w:rPr>
                              <w:rFonts w:ascii="Cambria Math" w:hAnsi="Cambria Math"/>
                              <w:sz w:val="18"/>
                              <w:szCs w:val="18"/>
                              <w:lang w:val="en-US"/>
                            </w:rPr>
                            <m:t>+</m:t>
                          </m:r>
                        </m:e>
                      </m:mr>
                      <m:mr>
                        <m:e>
                          <m:r>
                            <w:rPr>
                              <w:rFonts w:ascii="Cambria Math" w:hAnsi="Cambria Math"/>
                              <w:sz w:val="18"/>
                              <w:szCs w:val="18"/>
                              <w:lang w:val="en-US"/>
                            </w:rPr>
                            <m:t xml:space="preserve"> </m:t>
                          </m:r>
                        </m:e>
                        <m:e>
                          <m:sSub>
                            <m:sSubPr>
                              <m:ctrlPr>
                                <w:rPr>
                                  <w:rFonts w:ascii="Cambria Math" w:hAnsi="Cambria Math"/>
                                  <w:i/>
                                  <w:sz w:val="18"/>
                                  <w:szCs w:val="18"/>
                                  <w:lang w:val="en-US"/>
                                </w:rPr>
                              </m:ctrlPr>
                            </m:sSubPr>
                            <m:e>
                              <m:r>
                                <w:rPr>
                                  <w:rFonts w:ascii="Cambria Math" w:hAnsi="Cambria Math"/>
                                  <w:sz w:val="18"/>
                                  <w:szCs w:val="18"/>
                                  <w:lang w:val="en-US"/>
                                </w:rPr>
                                <m:t>s</m:t>
                              </m:r>
                            </m:e>
                            <m:sub>
                              <m:r>
                                <w:rPr>
                                  <w:rFonts w:ascii="Cambria Math" w:hAnsi="Cambria Math"/>
                                  <w:sz w:val="18"/>
                                  <w:szCs w:val="18"/>
                                  <w:lang w:val="en-US"/>
                                </w:rPr>
                                <m:t>t-1</m:t>
                              </m:r>
                            </m:sub>
                          </m:sSub>
                          <m:d>
                            <m:dPr>
                              <m:ctrlPr>
                                <w:rPr>
                                  <w:rFonts w:ascii="Cambria Math" w:hAnsi="Cambria Math"/>
                                  <w:i/>
                                  <w:sz w:val="18"/>
                                  <w:szCs w:val="18"/>
                                  <w:lang w:val="en-US"/>
                                </w:rPr>
                              </m:ctrlPr>
                            </m:dPr>
                            <m:e>
                              <m:r>
                                <w:rPr>
                                  <w:rFonts w:ascii="Cambria Math" w:hAnsi="Cambria Math"/>
                                  <w:sz w:val="18"/>
                                  <w:szCs w:val="18"/>
                                  <w:lang w:val="en-US"/>
                                </w:rPr>
                                <m:t>1-</m:t>
                              </m:r>
                              <m:sSub>
                                <m:sSubPr>
                                  <m:ctrlPr>
                                    <w:rPr>
                                      <w:rFonts w:ascii="Cambria Math" w:hAnsi="Cambria Math"/>
                                      <w:i/>
                                      <w:sz w:val="18"/>
                                      <w:szCs w:val="18"/>
                                      <w:lang w:val="en-US"/>
                                    </w:rPr>
                                  </m:ctrlPr>
                                </m:sSubPr>
                                <m:e>
                                  <m:r>
                                    <w:rPr>
                                      <w:rFonts w:ascii="Cambria Math" w:hAnsi="Cambria Math"/>
                                      <w:sz w:val="18"/>
                                      <w:szCs w:val="18"/>
                                      <w:lang w:val="en-US"/>
                                    </w:rPr>
                                    <m:t>r</m:t>
                                  </m:r>
                                </m:e>
                                <m:sub>
                                  <m:r>
                                    <w:rPr>
                                      <w:rFonts w:ascii="Cambria Math" w:hAnsi="Cambria Math"/>
                                      <w:sz w:val="18"/>
                                      <w:szCs w:val="18"/>
                                      <w:lang w:val="en-US"/>
                                    </w:rPr>
                                    <m:t>sd</m:t>
                                  </m:r>
                                </m:sub>
                              </m:sSub>
                            </m:e>
                          </m:d>
                          <m:r>
                            <w:rPr>
                              <w:rFonts w:ascii="Cambria Math" w:hAnsi="Cambria Math"/>
                              <w:sz w:val="18"/>
                              <w:szCs w:val="18"/>
                              <w:lang w:val="en-US"/>
                            </w:rPr>
                            <m:t>&gt;</m:t>
                          </m:r>
                          <m:sSub>
                            <m:sSubPr>
                              <m:ctrlPr>
                                <w:rPr>
                                  <w:rFonts w:ascii="Cambria Math" w:hAnsi="Cambria Math"/>
                                  <w:i/>
                                  <w:sz w:val="18"/>
                                  <w:szCs w:val="18"/>
                                  <w:lang w:val="en-US"/>
                                </w:rPr>
                              </m:ctrlPr>
                            </m:sSubPr>
                            <m:e>
                              <m:r>
                                <w:rPr>
                                  <w:rFonts w:ascii="Cambria Math" w:hAnsi="Cambria Math"/>
                                  <w:sz w:val="18"/>
                                  <w:szCs w:val="18"/>
                                  <w:lang w:val="en-US"/>
                                </w:rPr>
                                <m:t>C</m:t>
                              </m:r>
                            </m:e>
                            <m:sub>
                              <m:r>
                                <w:rPr>
                                  <w:rFonts w:ascii="Cambria Math" w:hAnsi="Cambria Math"/>
                                  <w:sz w:val="18"/>
                                  <w:szCs w:val="18"/>
                                  <w:lang w:val="en-US"/>
                                </w:rPr>
                                <m:t>s</m:t>
                              </m:r>
                            </m:sub>
                          </m:sSub>
                        </m:e>
                      </m:mr>
                      <m:mr>
                        <m:e>
                          <m:sSub>
                            <m:sSubPr>
                              <m:ctrlPr>
                                <w:rPr>
                                  <w:rFonts w:ascii="Cambria Math" w:hAnsi="Cambria Math"/>
                                  <w:i/>
                                  <w:sz w:val="18"/>
                                  <w:szCs w:val="18"/>
                                  <w:lang w:val="en-US"/>
                                </w:rPr>
                              </m:ctrlPr>
                            </m:sSubPr>
                            <m:e>
                              <m:r>
                                <w:rPr>
                                  <w:rFonts w:ascii="Cambria Math" w:hAnsi="Cambria Math"/>
                                  <w:sz w:val="18"/>
                                  <w:szCs w:val="18"/>
                                  <w:lang w:val="en-US"/>
                                </w:rPr>
                                <m:t>s</m:t>
                              </m:r>
                            </m:e>
                            <m:sub>
                              <m:r>
                                <w:rPr>
                                  <w:rFonts w:ascii="Cambria Math" w:hAnsi="Cambria Math"/>
                                  <w:sz w:val="18"/>
                                  <w:szCs w:val="18"/>
                                  <w:lang w:val="en-US"/>
                                </w:rPr>
                                <m:t>t</m:t>
                              </m:r>
                            </m:sub>
                          </m:sSub>
                          <m:d>
                            <m:dPr>
                              <m:ctrlPr>
                                <w:rPr>
                                  <w:rFonts w:ascii="Cambria Math" w:hAnsi="Cambria Math"/>
                                  <w:i/>
                                  <w:sz w:val="18"/>
                                  <w:szCs w:val="18"/>
                                  <w:lang w:val="en-US"/>
                                </w:rPr>
                              </m:ctrlPr>
                            </m:dPr>
                            <m:e>
                              <m:r>
                                <w:rPr>
                                  <w:rFonts w:ascii="Cambria Math" w:hAnsi="Cambria Math"/>
                                  <w:sz w:val="18"/>
                                  <w:szCs w:val="18"/>
                                  <w:lang w:val="en-US"/>
                                </w:rPr>
                                <m:t>1-</m:t>
                              </m:r>
                              <m:sSub>
                                <m:sSubPr>
                                  <m:ctrlPr>
                                    <w:rPr>
                                      <w:rFonts w:ascii="Cambria Math" w:hAnsi="Cambria Math"/>
                                      <w:i/>
                                      <w:sz w:val="18"/>
                                      <w:szCs w:val="18"/>
                                      <w:lang w:val="en-US"/>
                                    </w:rPr>
                                  </m:ctrlPr>
                                </m:sSubPr>
                                <m:e>
                                  <m:r>
                                    <w:rPr>
                                      <w:rFonts w:ascii="Cambria Math" w:hAnsi="Cambria Math"/>
                                      <w:sz w:val="18"/>
                                      <w:szCs w:val="18"/>
                                      <w:lang w:val="en-US"/>
                                    </w:rPr>
                                    <m:t>r</m:t>
                                  </m:r>
                                </m:e>
                                <m:sub>
                                  <m:r>
                                    <w:rPr>
                                      <w:rFonts w:ascii="Cambria Math" w:hAnsi="Cambria Math"/>
                                      <w:sz w:val="18"/>
                                      <w:szCs w:val="18"/>
                                      <w:lang w:val="en-US"/>
                                    </w:rPr>
                                    <m:t>sd</m:t>
                                  </m:r>
                                </m:sub>
                              </m:sSub>
                            </m:e>
                          </m:d>
                          <m:r>
                            <w:rPr>
                              <w:rFonts w:ascii="Cambria Math" w:hAnsi="Cambria Math"/>
                              <w:sz w:val="18"/>
                              <w:szCs w:val="18"/>
                              <w:lang w:val="en-US"/>
                            </w:rPr>
                            <m:t>+</m:t>
                          </m:r>
                          <m:sSub>
                            <m:sSubPr>
                              <m:ctrlPr>
                                <w:rPr>
                                  <w:rFonts w:ascii="Cambria Math" w:hAnsi="Cambria Math"/>
                                  <w:i/>
                                  <w:sz w:val="18"/>
                                  <w:szCs w:val="18"/>
                                  <w:lang w:val="en-US"/>
                                </w:rPr>
                              </m:ctrlPr>
                            </m:sSubPr>
                            <m:e>
                              <m:r>
                                <w:rPr>
                                  <w:rFonts w:ascii="Cambria Math" w:hAnsi="Cambria Math"/>
                                  <w:sz w:val="18"/>
                                  <w:szCs w:val="18"/>
                                  <w:lang w:val="en-US"/>
                                </w:rPr>
                                <m:t>η</m:t>
                              </m:r>
                            </m:e>
                            <m:sub>
                              <m:r>
                                <w:rPr>
                                  <w:rFonts w:ascii="Cambria Math" w:hAnsi="Cambria Math"/>
                                  <w:sz w:val="18"/>
                                  <w:szCs w:val="18"/>
                                  <w:lang w:val="en-US"/>
                                </w:rPr>
                                <m:t>c</m:t>
                              </m:r>
                            </m:sub>
                          </m:sSub>
                          <m:r>
                            <w:rPr>
                              <w:rFonts w:ascii="Cambria Math" w:hAnsi="Cambria Math"/>
                              <w:sz w:val="18"/>
                              <w:szCs w:val="18"/>
                              <w:lang w:val="en-US"/>
                            </w:rPr>
                            <m:t>(</m:t>
                          </m:r>
                          <m:sSub>
                            <m:sSubPr>
                              <m:ctrlPr>
                                <w:rPr>
                                  <w:rFonts w:ascii="Cambria Math" w:hAnsi="Cambria Math"/>
                                  <w:i/>
                                  <w:sz w:val="18"/>
                                  <w:szCs w:val="18"/>
                                  <w:lang w:val="en-US"/>
                                </w:rPr>
                              </m:ctrlPr>
                            </m:sSubPr>
                            <m:e>
                              <m:r>
                                <w:rPr>
                                  <w:rFonts w:ascii="Cambria Math" w:hAnsi="Cambria Math"/>
                                  <w:sz w:val="18"/>
                                  <w:szCs w:val="18"/>
                                  <w:lang w:val="en-US"/>
                                </w:rPr>
                                <m:t>G</m:t>
                              </m:r>
                            </m:e>
                            <m:sub>
                              <m:r>
                                <w:rPr>
                                  <w:rFonts w:ascii="Cambria Math" w:hAnsi="Cambria Math"/>
                                  <w:sz w:val="18"/>
                                  <w:szCs w:val="18"/>
                                  <w:lang w:val="en-US"/>
                                </w:rPr>
                                <m:t>t</m:t>
                              </m:r>
                            </m:sub>
                          </m:sSub>
                          <m:r>
                            <w:rPr>
                              <w:rFonts w:ascii="Cambria Math" w:hAnsi="Cambria Math"/>
                              <w:sz w:val="18"/>
                              <w:szCs w:val="18"/>
                              <w:lang w:val="en-US"/>
                            </w:rPr>
                            <m:t>-</m:t>
                          </m:r>
                          <m:sSub>
                            <m:sSubPr>
                              <m:ctrlPr>
                                <w:rPr>
                                  <w:rFonts w:ascii="Cambria Math" w:hAnsi="Cambria Math"/>
                                  <w:i/>
                                  <w:sz w:val="18"/>
                                  <w:szCs w:val="18"/>
                                  <w:lang w:val="en-US"/>
                                </w:rPr>
                              </m:ctrlPr>
                            </m:sSubPr>
                            <m:e>
                              <m:r>
                                <w:rPr>
                                  <w:rFonts w:ascii="Cambria Math" w:hAnsi="Cambria Math"/>
                                  <w:sz w:val="18"/>
                                  <w:szCs w:val="18"/>
                                  <w:lang w:val="en-US"/>
                                </w:rPr>
                                <m:t>L</m:t>
                              </m:r>
                            </m:e>
                            <m:sub>
                              <m:r>
                                <w:rPr>
                                  <w:rFonts w:ascii="Cambria Math" w:hAnsi="Cambria Math"/>
                                  <w:sz w:val="18"/>
                                  <w:szCs w:val="18"/>
                                  <w:lang w:val="en-US"/>
                                </w:rPr>
                                <m:t>t</m:t>
                              </m:r>
                            </m:sub>
                          </m:sSub>
                          <m:r>
                            <w:rPr>
                              <w:rFonts w:ascii="Cambria Math" w:hAnsi="Cambria Math"/>
                              <w:sz w:val="18"/>
                              <w:szCs w:val="18"/>
                              <w:lang w:val="en-US"/>
                            </w:rPr>
                            <m:t>)</m:t>
                          </m:r>
                        </m:e>
                        <m:e>
                          <m:r>
                            <m:rPr>
                              <m:nor/>
                            </m:rPr>
                            <w:rPr>
                              <w:rFonts w:ascii="Cambria Math" w:hAnsi="Cambria Math"/>
                              <w:sz w:val="18"/>
                              <w:szCs w:val="18"/>
                              <w:lang w:val="en-US"/>
                            </w:rPr>
                            <m:t>otherwise</m:t>
                          </m:r>
                        </m:e>
                      </m:mr>
                    </m:m>
                  </m:e>
                </m:d>
              </m:oMath>
            </m:oMathPara>
          </w:p>
        </w:tc>
        <w:tc>
          <w:tcPr>
            <w:tcW w:w="18pt" w:type="dxa"/>
            <w:vAlign w:val="center"/>
          </w:tcPr>
          <w:p w14:paraId="74B57992" w14:textId="77777777" w:rsidR="00FE2C65" w:rsidRPr="004A7B2B" w:rsidRDefault="00FE2C65" w:rsidP="002F1D1B">
            <w:pPr>
              <w:pStyle w:val="BodyText"/>
              <w:tabs>
                <w:tab w:val="clear" w:pos="14.40pt"/>
              </w:tabs>
              <w:ind w:firstLine="0pt"/>
              <w:jc w:val="end"/>
              <w:rPr>
                <w:lang w:val="en-US"/>
              </w:rPr>
            </w:pPr>
            <w:r w:rsidRPr="004A7B2B">
              <w:rPr>
                <w:lang w:val="en-US"/>
              </w:rPr>
              <w:t>(1)</w:t>
            </w:r>
          </w:p>
        </w:tc>
      </w:tr>
    </w:tbl>
    <w:p w14:paraId="068EAA92" w14:textId="77777777" w:rsidR="00FE2C65" w:rsidRDefault="00FE2C65" w:rsidP="00FE2C65">
      <w:pPr>
        <w:pStyle w:val="BodyText"/>
        <w:ind w:firstLine="0pt"/>
        <w:rPr>
          <w:lang w:val="en-US"/>
        </w:rPr>
      </w:pPr>
      <w:r>
        <w:rPr>
          <w:lang w:val="en-US"/>
        </w:rPr>
        <w:t xml:space="preserve">whereas for discharging, when </w:t>
      </w:r>
      <w:r w:rsidRPr="009C5F60">
        <w:rPr>
          <w:i/>
          <w:iCs/>
          <w:lang w:val="en-US"/>
        </w:rPr>
        <w:t>G</w:t>
      </w:r>
      <w:r w:rsidRPr="009C5F60">
        <w:rPr>
          <w:i/>
          <w:iCs/>
          <w:vertAlign w:val="subscript"/>
          <w:lang w:val="en-US"/>
        </w:rPr>
        <w:t>t</w:t>
      </w:r>
      <w:r w:rsidRPr="009C5F60">
        <w:rPr>
          <w:i/>
          <w:iCs/>
          <w:lang w:val="en-US"/>
        </w:rPr>
        <w:t xml:space="preserve"> </w:t>
      </w:r>
      <w:r w:rsidRPr="009C5F60">
        <w:rPr>
          <w:rFonts w:hint="eastAsia"/>
          <w:u w:val="single"/>
          <w:lang w:val="en-US"/>
        </w:rPr>
        <w:t>&lt;</w:t>
      </w:r>
      <w:r>
        <w:rPr>
          <w:lang w:val="en-US"/>
        </w:rPr>
        <w:t xml:space="preserve"> </w:t>
      </w:r>
      <w:r w:rsidRPr="009C5F60">
        <w:rPr>
          <w:i/>
          <w:iCs/>
          <w:lang w:val="en-US"/>
        </w:rPr>
        <w:t>L</w:t>
      </w:r>
      <w:r w:rsidRPr="009C5F60">
        <w:rPr>
          <w:i/>
          <w:iCs/>
          <w:vertAlign w:val="subscript"/>
          <w:lang w:val="en-US"/>
        </w:rPr>
        <w:t>t</w:t>
      </w:r>
      <w:r>
        <w:rPr>
          <w:lang w:val="en-US"/>
        </w:rPr>
        <w:t>,</w:t>
      </w:r>
    </w:p>
    <w:tbl>
      <w:tblPr>
        <w:tblStyle w:val="TableGrid"/>
        <w:tblW w:w="251.75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582"/>
        <w:gridCol w:w="453"/>
      </w:tblGrid>
      <w:tr w:rsidR="00FE2C65" w:rsidRPr="004A7B2B" w14:paraId="2473E2EB" w14:textId="77777777" w:rsidTr="002F1D1B">
        <w:tc>
          <w:tcPr>
            <w:tcW w:w="229.10pt" w:type="dxa"/>
          </w:tcPr>
          <w:p w14:paraId="2A324B47" w14:textId="77777777" w:rsidR="00FE2C65" w:rsidRPr="004A7B2B" w:rsidRDefault="00FE2C65" w:rsidP="002F1D1B">
            <w:pPr>
              <w:pStyle w:val="BodyText"/>
              <w:tabs>
                <w:tab w:val="clear" w:pos="14.40pt"/>
              </w:tabs>
              <w:ind w:firstLine="0pt"/>
              <w:rPr>
                <w:lang w:val="en-US"/>
              </w:rPr>
            </w:pPr>
            <m:oMathPara>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t-1</m:t>
                    </m:r>
                  </m:sub>
                </m:sSub>
                <m:d>
                  <m:dPr>
                    <m:ctrlPr>
                      <w:rPr>
                        <w:rFonts w:ascii="Cambria Math" w:hAnsi="Cambria Math"/>
                        <w:i/>
                        <w:lang w:val="en-US"/>
                      </w:rPr>
                    </m:ctrlPr>
                  </m:dPr>
                  <m:e>
                    <m:r>
                      <w:rPr>
                        <w:rFonts w:ascii="Cambria Math" w:hAnsi="Cambria Math"/>
                        <w:lang w:val="en-US"/>
                      </w:rPr>
                      <m:t>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sd</m:t>
                        </m:r>
                      </m:sub>
                    </m:sSub>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η</m:t>
                    </m:r>
                  </m:e>
                  <m:sub>
                    <m:r>
                      <w:rPr>
                        <w:rFonts w:ascii="Cambria Math" w:hAnsi="Cambria Math"/>
                        <w:lang w:val="en-US"/>
                      </w:rPr>
                      <m:t>d</m:t>
                    </m:r>
                  </m:sub>
                </m:sSub>
              </m:oMath>
            </m:oMathPara>
          </w:p>
        </w:tc>
        <w:tc>
          <w:tcPr>
            <w:tcW w:w="22.65pt" w:type="dxa"/>
          </w:tcPr>
          <w:p w14:paraId="667EAB06" w14:textId="77777777" w:rsidR="00FE2C65" w:rsidRPr="004A7B2B" w:rsidRDefault="00FE2C65" w:rsidP="002F1D1B">
            <w:pPr>
              <w:pStyle w:val="BodyText"/>
              <w:tabs>
                <w:tab w:val="clear" w:pos="14.40pt"/>
              </w:tabs>
              <w:ind w:firstLine="0pt"/>
              <w:rPr>
                <w:lang w:val="en-US"/>
              </w:rPr>
            </w:pPr>
            <w:r w:rsidRPr="004A7B2B">
              <w:rPr>
                <w:lang w:val="en-US"/>
              </w:rPr>
              <w:t>(2)</w:t>
            </w:r>
          </w:p>
        </w:tc>
      </w:tr>
    </w:tbl>
    <w:p w14:paraId="0CD50DC4" w14:textId="77777777" w:rsidR="00FE2C65" w:rsidRDefault="00FE2C65" w:rsidP="00FE2C65">
      <w:pPr>
        <w:pStyle w:val="BodyText"/>
        <w:ind w:firstLine="0pt"/>
        <w:rPr>
          <w:lang w:val="en-US"/>
        </w:rPr>
      </w:pPr>
      <w:r>
        <w:rPr>
          <w:lang w:val="en-US"/>
        </w:rPr>
        <w:t xml:space="preserve">At </w:t>
      </w:r>
      <w:r w:rsidRPr="009C5F60">
        <w:rPr>
          <w:i/>
          <w:iCs/>
          <w:lang w:val="en-US"/>
        </w:rPr>
        <w:t>t</w:t>
      </w:r>
      <w:r>
        <w:rPr>
          <w:lang w:val="en-US"/>
        </w:rPr>
        <w:t xml:space="preserve">=0, </w:t>
      </w:r>
      <w:r w:rsidRPr="009C5F60">
        <w:rPr>
          <w:i/>
          <w:iCs/>
          <w:lang w:val="en-US"/>
        </w:rPr>
        <w:t>s</w:t>
      </w:r>
      <w:r w:rsidRPr="009C5F60">
        <w:rPr>
          <w:i/>
          <w:iCs/>
          <w:vertAlign w:val="subscript"/>
          <w:lang w:val="en-US"/>
        </w:rPr>
        <w:t>t</w:t>
      </w:r>
      <w:r>
        <w:rPr>
          <w:lang w:val="en-US"/>
        </w:rPr>
        <w:t xml:space="preserve"> = </w:t>
      </w:r>
      <w:r w:rsidRPr="009C5F60">
        <w:rPr>
          <w:i/>
          <w:iCs/>
          <w:lang w:val="en-US"/>
        </w:rPr>
        <w:t>C</w:t>
      </w:r>
      <w:r w:rsidRPr="009C5F60">
        <w:rPr>
          <w:i/>
          <w:iCs/>
          <w:vertAlign w:val="subscript"/>
          <w:lang w:val="en-US"/>
        </w:rPr>
        <w:t>i</w:t>
      </w:r>
      <w:r>
        <w:rPr>
          <w:lang w:val="en-US"/>
        </w:rPr>
        <w:t xml:space="preserve">, the initial charge. </w:t>
      </w:r>
    </w:p>
    <w:p w14:paraId="6D575DB6" w14:textId="3D9ED4D3" w:rsidR="00F270E9" w:rsidRPr="00E97A88" w:rsidRDefault="00E97A88" w:rsidP="000652EF">
      <w:pPr>
        <w:pStyle w:val="BodyText"/>
        <w:rPr>
          <w:lang w:val="en-US"/>
        </w:rPr>
      </w:pPr>
      <w:bookmarkStart w:id="1" w:name="_Hlk96785073"/>
      <w:r w:rsidRPr="00E97A88">
        <w:rPr>
          <w:lang w:val="en-US"/>
        </w:rPr>
        <w:t>The charging and discharging efficiency are each assumed to be 9</w:t>
      </w:r>
      <w:r w:rsidR="004D0C98">
        <w:rPr>
          <w:lang w:val="en-US"/>
        </w:rPr>
        <w:t>0</w:t>
      </w:r>
      <w:r w:rsidRPr="00E97A88">
        <w:rPr>
          <w:lang w:val="en-US"/>
        </w:rPr>
        <w:t>% (for a round-trip efficiency of 8</w:t>
      </w:r>
      <w:r w:rsidR="004D0C98">
        <w:rPr>
          <w:lang w:val="en-US"/>
        </w:rPr>
        <w:t>1</w:t>
      </w:r>
      <w:r w:rsidRPr="00E97A88">
        <w:rPr>
          <w:lang w:val="en-US"/>
        </w:rPr>
        <w:t xml:space="preserve">%), and the self-discharge rate is assumed to be 0.2% per day.  </w:t>
      </w:r>
      <w:r w:rsidR="00E35855">
        <w:rPr>
          <w:lang w:val="en-US"/>
        </w:rPr>
        <w:t xml:space="preserve">These values could be representative of batteries, but could also represent pumped hydro storage, or other types of storage. </w:t>
      </w:r>
      <w:r w:rsidR="005A4F9C">
        <w:rPr>
          <w:lang w:val="en-US"/>
        </w:rPr>
        <w:t xml:space="preserve">The values of the initial charge state and </w:t>
      </w:r>
      <w:r w:rsidR="00AF0260">
        <w:rPr>
          <w:lang w:val="en-US"/>
        </w:rPr>
        <w:t xml:space="preserve">storage </w:t>
      </w:r>
      <w:r w:rsidR="005A4F9C">
        <w:rPr>
          <w:lang w:val="en-US"/>
        </w:rPr>
        <w:t>capacity are then solved iteratively</w:t>
      </w:r>
      <w:r w:rsidR="00E35855">
        <w:rPr>
          <w:lang w:val="en-US"/>
        </w:rPr>
        <w:t xml:space="preserve"> </w:t>
      </w:r>
      <w:r w:rsidR="00FE2C65">
        <w:rPr>
          <w:lang w:val="en-US"/>
        </w:rPr>
        <w:t xml:space="preserve">as illustrated in Fig. 6 </w:t>
      </w:r>
      <w:r w:rsidR="00E35855">
        <w:rPr>
          <w:lang w:val="en-US"/>
        </w:rPr>
        <w:t>to determine the storage capacity</w:t>
      </w:r>
      <w:r w:rsidR="005A4F9C">
        <w:rPr>
          <w:lang w:val="en-US"/>
        </w:rPr>
        <w:t xml:space="preserve">, with the constraints that the final charge is equal to the initial charge (equivalent to assuming all years are identical to this one) and that the minimum charge is zero (whereas in reality, </w:t>
      </w:r>
      <w:r w:rsidR="00363EAE">
        <w:rPr>
          <w:lang w:val="en-US"/>
        </w:rPr>
        <w:t xml:space="preserve">most energy storage technologies have a maximum permissible depth of discharge beyond which service is disrupted, </w:t>
      </w:r>
      <w:r w:rsidR="004D0C98">
        <w:rPr>
          <w:lang w:val="en-US"/>
        </w:rPr>
        <w:t>sometimes</w:t>
      </w:r>
      <w:r w:rsidR="00363EAE">
        <w:rPr>
          <w:lang w:val="en-US"/>
        </w:rPr>
        <w:t xml:space="preserve"> with permanent damage to the storage system</w:t>
      </w:r>
      <w:r w:rsidR="005A4F9C">
        <w:rPr>
          <w:lang w:val="en-US"/>
        </w:rPr>
        <w:t>).</w:t>
      </w:r>
      <w:r w:rsidR="00D26FE4">
        <w:rPr>
          <w:lang w:val="en-US"/>
        </w:rPr>
        <w:t xml:space="preserve"> The excess of any net generation that results in full storage is treated as curtailment or as available for a possible secondary use.</w:t>
      </w:r>
    </w:p>
    <w:bookmarkEnd w:id="1"/>
    <w:p w14:paraId="2E2BFC4D" w14:textId="15D28D9F" w:rsidR="00F270E9" w:rsidRDefault="005A4F9C" w:rsidP="001B643B">
      <w:pPr>
        <w:pStyle w:val="BodyText"/>
        <w:rPr>
          <w:lang w:val="en-US"/>
        </w:rPr>
      </w:pPr>
      <w:r>
        <w:rPr>
          <w:lang w:val="en-US"/>
        </w:rPr>
        <w:t xml:space="preserve">The storage </w:t>
      </w:r>
      <w:r w:rsidR="004D0C98">
        <w:rPr>
          <w:lang w:val="en-US"/>
        </w:rPr>
        <w:t xml:space="preserve">holding time </w:t>
      </w:r>
      <w:r>
        <w:rPr>
          <w:lang w:val="en-US"/>
        </w:rPr>
        <w:t xml:space="preserve">required was probed by aggregating the generation and load to successively longer intervals and recalculating the charge state and required capacity for each successive interval. </w:t>
      </w:r>
      <w:r w:rsidR="00636B2B">
        <w:rPr>
          <w:lang w:val="en-US"/>
        </w:rPr>
        <w:t xml:space="preserve">Each such calculation expresses the total imbalance between generation and load over the </w:t>
      </w:r>
      <w:r w:rsidR="005D2AE0">
        <w:rPr>
          <w:noProof/>
          <w:lang w:val="en-US"/>
        </w:rPr>
        <w:drawing>
          <wp:inline distT="0" distB="0" distL="0" distR="0" wp14:anchorId="40DBCAA4" wp14:editId="1D27AADC">
            <wp:extent cx="3206750" cy="4523740"/>
            <wp:effectExtent l="0" t="0" r="0" b="0"/>
            <wp:docPr id="50" name="Picture 5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6750" cy="4523740"/>
                    </a:xfrm>
                    <a:prstGeom prst="rect">
                      <a:avLst/>
                    </a:prstGeom>
                    <a:noFill/>
                  </pic:spPr>
                </pic:pic>
              </a:graphicData>
            </a:graphic>
          </wp:inline>
        </w:drawing>
      </w:r>
      <w:r w:rsidR="00636B2B">
        <w:rPr>
          <w:lang w:val="en-US"/>
        </w:rPr>
        <w:t>aggregation interval; for example, aggregating over 10 hours at each hour shows the total imbalance that persists over that 10-hour interval</w:t>
      </w:r>
      <w:r w:rsidR="003768F8">
        <w:rPr>
          <w:lang w:val="en-US"/>
        </w:rPr>
        <w:t xml:space="preserve"> or more</w:t>
      </w:r>
      <w:r w:rsidR="00636B2B">
        <w:rPr>
          <w:lang w:val="en-US"/>
        </w:rPr>
        <w:t>, but does not show imbalances over shorter intervals. Over a sufficiently long aggregation interval the imbalance (load – generation) must be negative if the annual generation exceeds the load</w:t>
      </w:r>
      <w:r w:rsidR="004D0C98">
        <w:rPr>
          <w:lang w:val="en-US"/>
        </w:rPr>
        <w:t xml:space="preserve"> + losses</w:t>
      </w:r>
      <w:r w:rsidR="00636B2B">
        <w:rPr>
          <w:lang w:val="en-US"/>
        </w:rPr>
        <w:t>, and the storage requirement is zero for that interval</w:t>
      </w:r>
      <w:r w:rsidR="00363EAE">
        <w:rPr>
          <w:lang w:val="en-US"/>
        </w:rPr>
        <w:t xml:space="preserve"> or longer</w:t>
      </w:r>
      <w:r w:rsidR="00636B2B">
        <w:rPr>
          <w:lang w:val="en-US"/>
        </w:rPr>
        <w:t xml:space="preserve">. Although the CAISO data are over 5-minute intervals, this analysis was limited to intervals of at least 1 hour because the solar resource data </w:t>
      </w:r>
      <w:r w:rsidR="009A5AF6">
        <w:rPr>
          <w:lang w:val="en-US"/>
        </w:rPr>
        <w:t xml:space="preserve">used </w:t>
      </w:r>
      <w:r w:rsidR="00636B2B">
        <w:rPr>
          <w:lang w:val="en-US"/>
        </w:rPr>
        <w:t>are on an hourly basis. Thus</w:t>
      </w:r>
      <w:r w:rsidR="00363EAE">
        <w:rPr>
          <w:lang w:val="en-US"/>
        </w:rPr>
        <w:t>,</w:t>
      </w:r>
      <w:r w:rsidR="00636B2B">
        <w:rPr>
          <w:lang w:val="en-US"/>
        </w:rPr>
        <w:t xml:space="preserve"> the calculated storage requirements omit any storage that might be needed for balancing on sub-hourly intervals.</w:t>
      </w:r>
    </w:p>
    <w:p w14:paraId="6931CC85" w14:textId="6AF832D0" w:rsidR="00FE2C65" w:rsidRDefault="00FE2C65" w:rsidP="00FE2C65">
      <w:pPr>
        <w:pStyle w:val="BodyText"/>
        <w:ind w:firstLine="4.50pt"/>
        <w:rPr>
          <w:lang w:val="en-US"/>
        </w:rPr>
      </w:pPr>
    </w:p>
    <w:p w14:paraId="78D87F93" w14:textId="7D83334D" w:rsidR="0093394D" w:rsidRPr="00A356A6" w:rsidRDefault="0093394D" w:rsidP="0093394D">
      <w:pPr>
        <w:pStyle w:val="Heading1"/>
      </w:pPr>
      <w:r>
        <w:t>Results</w:t>
      </w:r>
    </w:p>
    <w:p w14:paraId="04764733" w14:textId="180A2036" w:rsidR="001B6751" w:rsidRDefault="001B6751" w:rsidP="0093394D">
      <w:pPr>
        <w:pStyle w:val="BodyText"/>
        <w:rPr>
          <w:lang w:val="en-US"/>
        </w:rPr>
      </w:pPr>
      <w:r>
        <w:rPr>
          <w:lang w:val="en-US"/>
        </w:rPr>
        <w:t xml:space="preserve">Fig. </w:t>
      </w:r>
      <w:r w:rsidR="009D4CE8">
        <w:rPr>
          <w:lang w:val="en-US"/>
        </w:rPr>
        <w:t>7</w:t>
      </w:r>
      <w:r>
        <w:rPr>
          <w:lang w:val="en-US"/>
        </w:rPr>
        <w:t xml:space="preserve"> shows the </w:t>
      </w:r>
      <w:r w:rsidR="00C03DA8">
        <w:rPr>
          <w:lang w:val="en-US"/>
        </w:rPr>
        <w:t xml:space="preserve">annual </w:t>
      </w:r>
      <w:r w:rsidR="00724874">
        <w:rPr>
          <w:lang w:val="en-US"/>
        </w:rPr>
        <w:t>statewide</w:t>
      </w:r>
      <w:r>
        <w:rPr>
          <w:lang w:val="en-US"/>
        </w:rPr>
        <w:t xml:space="preserve"> generation profiles aggregated on a monthly basis compared to the 2019 California statewide load (generation and load profiles are normalized to a sum of </w:t>
      </w:r>
      <w:r w:rsidR="00C16988">
        <w:rPr>
          <w:lang w:val="en-US"/>
        </w:rPr>
        <w:t xml:space="preserve">8760 </w:t>
      </w:r>
      <w:r>
        <w:rPr>
          <w:lang w:val="en-US"/>
        </w:rPr>
        <w:t xml:space="preserve">for the year). The load does exhibit an increase in summer months driven by </w:t>
      </w:r>
      <w:r w:rsidR="004F3664">
        <w:rPr>
          <w:lang w:val="en-US"/>
        </w:rPr>
        <w:t>air conditioning loads</w:t>
      </w:r>
      <w:r>
        <w:rPr>
          <w:lang w:val="en-US"/>
        </w:rPr>
        <w:t xml:space="preserve">, but it’s apparent that the inclined configurations (winter tilt or latitude tilt) provide an improved overall match. </w:t>
      </w:r>
    </w:p>
    <w:p w14:paraId="22C79BB4" w14:textId="21173DEE" w:rsidR="004D32CD" w:rsidRPr="00A356A6" w:rsidRDefault="004D32CD" w:rsidP="004D32CD">
      <w:pPr>
        <w:pStyle w:val="Heading2"/>
      </w:pPr>
      <w:r>
        <w:t>Relationship of Storage Requirement to PV Capacity and Capex</w:t>
      </w:r>
    </w:p>
    <w:p w14:paraId="4A5FB220" w14:textId="51CC18CA" w:rsidR="00323F7E" w:rsidRDefault="00EC6D62" w:rsidP="0093394D">
      <w:pPr>
        <w:pStyle w:val="BodyText"/>
        <w:rPr>
          <w:lang w:val="en-US"/>
        </w:rPr>
      </w:pPr>
      <w:bookmarkStart w:id="2" w:name="_Hlk96967949"/>
      <w:r>
        <w:t>Storage size is the minimum necessary to satisfy the load with perfect dispatch</w:t>
      </w:r>
      <w:r>
        <w:rPr>
          <w:lang w:val="en-US"/>
        </w:rPr>
        <w:t xml:space="preserve">, calculated according to the formulation in </w:t>
      </w:r>
      <w:r>
        <w:rPr>
          <w:lang w:val="en-US"/>
        </w:rPr>
        <w:lastRenderedPageBreak/>
        <w:t>Section III</w:t>
      </w:r>
      <w:r w:rsidR="001E1120">
        <w:rPr>
          <w:lang w:val="en-US"/>
        </w:rPr>
        <w:t>(C)</w:t>
      </w:r>
      <w:r>
        <w:rPr>
          <w:lang w:val="en-US"/>
        </w:rPr>
        <w:t xml:space="preserve"> in every case. </w:t>
      </w:r>
      <w:bookmarkEnd w:id="2"/>
      <w:r w:rsidR="00B04874">
        <w:rPr>
          <w:lang w:val="en-US"/>
        </w:rPr>
        <w:t>The interrelationship between the PV orientation and the storage required to serve the load is examined in Fig</w:t>
      </w:r>
      <w:r w:rsidR="00F01933">
        <w:rPr>
          <w:lang w:val="en-US"/>
        </w:rPr>
        <w:t>s</w:t>
      </w:r>
      <w:r w:rsidR="00B04874">
        <w:rPr>
          <w:lang w:val="en-US"/>
        </w:rPr>
        <w:t xml:space="preserve">. </w:t>
      </w:r>
      <w:r w:rsidR="009D4CE8">
        <w:rPr>
          <w:lang w:val="en-US"/>
        </w:rPr>
        <w:t>8</w:t>
      </w:r>
      <w:r w:rsidR="00724874">
        <w:rPr>
          <w:lang w:val="en-US"/>
        </w:rPr>
        <w:t>–</w:t>
      </w:r>
      <w:r w:rsidR="009D4CE8">
        <w:rPr>
          <w:lang w:val="en-US"/>
        </w:rPr>
        <w:t>10</w:t>
      </w:r>
      <w:r w:rsidR="00B04874">
        <w:rPr>
          <w:lang w:val="en-US"/>
        </w:rPr>
        <w:t xml:space="preserve">. Fig. </w:t>
      </w:r>
      <w:r w:rsidR="009D4CE8">
        <w:rPr>
          <w:lang w:val="en-US"/>
        </w:rPr>
        <w:t>8</w:t>
      </w:r>
      <w:r w:rsidR="00724874">
        <w:rPr>
          <w:lang w:val="en-US"/>
        </w:rPr>
        <w:t xml:space="preserve"> </w:t>
      </w:r>
      <w:r w:rsidR="00B04874">
        <w:rPr>
          <w:lang w:val="en-US"/>
        </w:rPr>
        <w:t xml:space="preserve">shows the </w:t>
      </w:r>
      <w:r w:rsidR="004F3664">
        <w:rPr>
          <w:lang w:val="en-US"/>
        </w:rPr>
        <w:t xml:space="preserve">state of charge over the year </w:t>
      </w:r>
      <w:r w:rsidR="00B04874">
        <w:rPr>
          <w:lang w:val="en-US"/>
        </w:rPr>
        <w:t>calculated</w:t>
      </w:r>
      <w:r w:rsidR="004F3664">
        <w:rPr>
          <w:lang w:val="en-US"/>
        </w:rPr>
        <w:t xml:space="preserve"> for the</w:t>
      </w:r>
      <w:r w:rsidR="00B04874">
        <w:rPr>
          <w:lang w:val="en-US"/>
        </w:rPr>
        <w:t xml:space="preserve"> minimum </w:t>
      </w:r>
      <w:r w:rsidR="00724874">
        <w:rPr>
          <w:lang w:val="en-US"/>
        </w:rPr>
        <w:t xml:space="preserve">PV capacity necessary to satisfy the </w:t>
      </w:r>
      <w:r w:rsidR="00C67BF3">
        <w:rPr>
          <w:lang w:val="en-US"/>
        </w:rPr>
        <w:t xml:space="preserve">1W average </w:t>
      </w:r>
      <w:r w:rsidR="00724874">
        <w:rPr>
          <w:lang w:val="en-US"/>
        </w:rPr>
        <w:t xml:space="preserve">load </w:t>
      </w:r>
      <w:r w:rsidR="004F3664">
        <w:rPr>
          <w:lang w:val="en-US"/>
        </w:rPr>
        <w:t xml:space="preserve">as indicated in the inset of Fig. </w:t>
      </w:r>
      <w:r w:rsidR="009D4CE8">
        <w:rPr>
          <w:lang w:val="en-US"/>
        </w:rPr>
        <w:t>8</w:t>
      </w:r>
      <w:r w:rsidR="00B04874">
        <w:rPr>
          <w:lang w:val="en-US"/>
        </w:rPr>
        <w:t xml:space="preserve">. Since the load is normalized to 8760 Wh/year, then by definition a PV nameplate capacity equal to the reciprocal of the capacity factor provides generation equal to the load. However, this is not enough: most of the generation is first stored and later retrieved, rather than serving the load directly. If </w:t>
      </w:r>
      <w:proofErr w:type="gramStart"/>
      <w:r w:rsidR="00B04874">
        <w:rPr>
          <w:lang w:val="en-US"/>
        </w:rPr>
        <w:t>all of</w:t>
      </w:r>
      <w:proofErr w:type="gramEnd"/>
      <w:r w:rsidR="00B04874">
        <w:rPr>
          <w:lang w:val="en-US"/>
        </w:rPr>
        <w:t xml:space="preserve"> the generated energy passes through storage, only the generation × round-trip efficiency can be supplied to the load. </w:t>
      </w:r>
      <w:r w:rsidR="00724874">
        <w:rPr>
          <w:lang w:val="en-US"/>
        </w:rPr>
        <w:t xml:space="preserve">There is thus a maximum storage requirement associated with the minimum PV capacity, </w:t>
      </w:r>
      <w:r w:rsidR="008B6F59">
        <w:rPr>
          <w:noProof/>
          <w:lang w:val="en-US"/>
        </w:rPr>
        <w:drawing>
          <wp:inline distT="0" distB="0" distL="0" distR="0" wp14:anchorId="0D8F9E2E" wp14:editId="515C022B">
            <wp:extent cx="3188335" cy="6541770"/>
            <wp:effectExtent l="0" t="0" r="0" b="0"/>
            <wp:docPr id="53" name="Picture 5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88335" cy="6541770"/>
                    </a:xfrm>
                    <a:prstGeom prst="rect">
                      <a:avLst/>
                    </a:prstGeom>
                    <a:noFill/>
                  </pic:spPr>
                </pic:pic>
              </a:graphicData>
            </a:graphic>
          </wp:inline>
        </w:drawing>
      </w:r>
      <w:r w:rsidR="00724874">
        <w:rPr>
          <w:lang w:val="en-US"/>
        </w:rPr>
        <w:t xml:space="preserve">such that the total energy supplied directly to the load, plus the total energy that is passed through storage before </w:t>
      </w:r>
      <w:r w:rsidR="00323F7E">
        <w:rPr>
          <w:lang w:val="en-US"/>
        </w:rPr>
        <w:t xml:space="preserve">being supplied to the load, just equals the load, with no </w:t>
      </w:r>
      <w:r w:rsidR="00AA5BAA">
        <w:rPr>
          <w:lang w:val="en-US"/>
        </w:rPr>
        <w:t>surplus</w:t>
      </w:r>
      <w:r w:rsidR="00323F7E">
        <w:rPr>
          <w:lang w:val="en-US"/>
        </w:rPr>
        <w:t xml:space="preserve"> energy generated.  The inset table in Fig. </w:t>
      </w:r>
      <w:r w:rsidR="009D4CE8">
        <w:rPr>
          <w:lang w:val="en-US"/>
        </w:rPr>
        <w:t>8</w:t>
      </w:r>
      <w:r w:rsidR="009D4CE8">
        <w:rPr>
          <w:lang w:val="en-US"/>
        </w:rPr>
        <w:t xml:space="preserve"> </w:t>
      </w:r>
      <w:r w:rsidR="00323F7E">
        <w:rPr>
          <w:lang w:val="en-US"/>
        </w:rPr>
        <w:t>shows the PV nameplate capacity (in W</w:t>
      </w:r>
      <w:r w:rsidR="00323F7E" w:rsidRPr="008F5DAD">
        <w:rPr>
          <w:vertAlign w:val="subscript"/>
          <w:lang w:val="en-US"/>
        </w:rPr>
        <w:t>DC</w:t>
      </w:r>
      <w:r w:rsidR="00323F7E">
        <w:rPr>
          <w:lang w:val="en-US"/>
        </w:rPr>
        <w:t xml:space="preserve">) corresponding to each charge state curve. Each of the fixed orientation configurations require more nameplate capacity than their tracking counterparts to satisfy the load. The fact that tracking systems have almost no generation advantage over fixed orientation at the same tilt angle when the sky is heavily overcast means that the long decline in charge state from November through February is greater for the lower-capacity tracking systems, resulting in a higher peak storage requirement to compensate. </w:t>
      </w:r>
    </w:p>
    <w:p w14:paraId="043303BC" w14:textId="4EC24654" w:rsidR="00AF324B" w:rsidRDefault="008F5DAD" w:rsidP="003500A9">
      <w:pPr>
        <w:pStyle w:val="BodyText"/>
        <w:rPr>
          <w:lang w:val="en-US"/>
        </w:rPr>
      </w:pPr>
      <w:r>
        <w:rPr>
          <w:lang w:val="en-US"/>
        </w:rPr>
        <w:t xml:space="preserve">Fig. </w:t>
      </w:r>
      <w:r w:rsidR="009D4CE8">
        <w:rPr>
          <w:lang w:val="en-US"/>
        </w:rPr>
        <w:t>9</w:t>
      </w:r>
      <w:r>
        <w:rPr>
          <w:lang w:val="en-US"/>
        </w:rPr>
        <w:t xml:space="preserve">(a) shows how the storage capacity (peak value of the charge state) is affected by adding PV capacity. Added capacity has two effects: firstly, the rate at which storage is depleted between November and February is reduced; and secondly, the stored charge state necessary at the start of that </w:t>
      </w:r>
      <w:r w:rsidR="00C67BF3">
        <w:rPr>
          <w:lang w:val="en-US"/>
        </w:rPr>
        <w:t xml:space="preserve">depletion </w:t>
      </w:r>
      <w:r>
        <w:rPr>
          <w:lang w:val="en-US"/>
        </w:rPr>
        <w:t>is reduced. Thus</w:t>
      </w:r>
      <w:r w:rsidR="00E76131">
        <w:rPr>
          <w:lang w:val="en-US"/>
        </w:rPr>
        <w:t>,</w:t>
      </w:r>
      <w:r>
        <w:rPr>
          <w:lang w:val="en-US"/>
        </w:rPr>
        <w:t xml:space="preserve"> the required storage is reduced, but more PV energy has been generated, and the excess is curtailed (or </w:t>
      </w:r>
      <w:r w:rsidR="00C67BF3">
        <w:rPr>
          <w:lang w:val="en-US"/>
        </w:rPr>
        <w:t xml:space="preserve">is </w:t>
      </w:r>
      <w:r w:rsidR="00AA5BAA">
        <w:rPr>
          <w:lang w:val="en-US"/>
        </w:rPr>
        <w:t xml:space="preserve">surplus </w:t>
      </w:r>
      <w:r>
        <w:rPr>
          <w:lang w:val="en-US"/>
        </w:rPr>
        <w:t xml:space="preserve">available for a secondary use). Fig. </w:t>
      </w:r>
      <w:r w:rsidR="009D4CE8">
        <w:rPr>
          <w:lang w:val="en-US"/>
        </w:rPr>
        <w:t>9</w:t>
      </w:r>
      <w:r>
        <w:rPr>
          <w:lang w:val="en-US"/>
        </w:rPr>
        <w:t>(b) translate</w:t>
      </w:r>
      <w:r w:rsidR="00413233">
        <w:rPr>
          <w:lang w:val="en-US"/>
        </w:rPr>
        <w:t>s</w:t>
      </w:r>
      <w:r>
        <w:rPr>
          <w:lang w:val="en-US"/>
        </w:rPr>
        <w:t xml:space="preserve"> the PV capacities to PV capex </w:t>
      </w:r>
      <w:r w:rsidR="00413233">
        <w:rPr>
          <w:lang w:val="en-US"/>
        </w:rPr>
        <w:t xml:space="preserve">(required to serve the 1W average load) </w:t>
      </w:r>
      <w:r>
        <w:rPr>
          <w:lang w:val="en-US"/>
        </w:rPr>
        <w:t>using the cost model of Fig. 4. Although the tracking configurations (</w:t>
      </w:r>
      <w:r w:rsidR="00BF5F4C">
        <w:rPr>
          <w:lang w:val="en-US"/>
        </w:rPr>
        <w:t xml:space="preserve">TrL </w:t>
      </w:r>
      <w:r>
        <w:rPr>
          <w:lang w:val="en-US"/>
        </w:rPr>
        <w:t xml:space="preserve">and </w:t>
      </w:r>
      <w:r w:rsidR="00BF5F4C">
        <w:rPr>
          <w:lang w:val="en-US"/>
        </w:rPr>
        <w:t>TrL+15</w:t>
      </w:r>
      <w:r>
        <w:rPr>
          <w:lang w:val="en-US"/>
        </w:rPr>
        <w:t>) have the least storage required per unit capacity, their cost premium means that the fixed orientations (</w:t>
      </w:r>
      <w:r w:rsidR="00BF5F4C">
        <w:rPr>
          <w:lang w:val="en-US"/>
        </w:rPr>
        <w:t xml:space="preserve">FxL </w:t>
      </w:r>
      <w:r w:rsidR="00AF324B">
        <w:rPr>
          <w:lang w:val="en-US"/>
        </w:rPr>
        <w:t xml:space="preserve">and </w:t>
      </w:r>
      <w:r w:rsidR="00BF5F4C">
        <w:rPr>
          <w:lang w:val="en-US"/>
        </w:rPr>
        <w:t>FxL+15</w:t>
      </w:r>
      <w:r w:rsidR="00AF324B">
        <w:rPr>
          <w:lang w:val="en-US"/>
        </w:rPr>
        <w:t xml:space="preserve">) have the lowest capex for a given storage requirement. </w:t>
      </w:r>
    </w:p>
    <w:p w14:paraId="0FE48F37" w14:textId="4339B502" w:rsidR="009A6496" w:rsidRDefault="009A6496" w:rsidP="009A6496">
      <w:pPr>
        <w:pStyle w:val="BodyText"/>
        <w:rPr>
          <w:lang w:val="en-US"/>
        </w:rPr>
      </w:pPr>
      <w:r>
        <w:rPr>
          <w:lang w:val="en-US"/>
        </w:rPr>
        <w:t xml:space="preserve">Fig. </w:t>
      </w:r>
      <w:r w:rsidR="009D4CE8">
        <w:rPr>
          <w:lang w:val="en-US"/>
        </w:rPr>
        <w:t>9</w:t>
      </w:r>
      <w:r>
        <w:rPr>
          <w:lang w:val="en-US"/>
        </w:rPr>
        <w:t xml:space="preserve">(a) and (b) show horizontal lines of equal storage capacity at 10 days (240 hours at a 1 W average load). Considering just </w:t>
      </w:r>
      <w:r w:rsidR="00BF5F4C">
        <w:rPr>
          <w:lang w:val="en-US"/>
        </w:rPr>
        <w:t>FxL+15</w:t>
      </w:r>
      <w:r>
        <w:rPr>
          <w:lang w:val="en-US"/>
        </w:rPr>
        <w:t xml:space="preserve"> and </w:t>
      </w:r>
      <w:r w:rsidR="007D2885">
        <w:rPr>
          <w:lang w:val="en-US"/>
        </w:rPr>
        <w:t xml:space="preserve">Tr0 </w:t>
      </w:r>
      <w:r>
        <w:rPr>
          <w:lang w:val="en-US"/>
        </w:rPr>
        <w:t xml:space="preserve">configurations, we saw in Fig. 5(a) that the capacity factor of </w:t>
      </w:r>
      <w:r w:rsidR="007D2885">
        <w:rPr>
          <w:lang w:val="en-US"/>
        </w:rPr>
        <w:t xml:space="preserve">Tr0 </w:t>
      </w:r>
      <w:r>
        <w:rPr>
          <w:lang w:val="en-US"/>
        </w:rPr>
        <w:t xml:space="preserve">is 20% greater than that of </w:t>
      </w:r>
      <w:r w:rsidR="007D2885">
        <w:rPr>
          <w:lang w:val="en-US"/>
        </w:rPr>
        <w:t xml:space="preserve">FxL+15 </w:t>
      </w:r>
      <w:r>
        <w:rPr>
          <w:lang w:val="en-US"/>
        </w:rPr>
        <w:t xml:space="preserve">collectors, but from Fig. </w:t>
      </w:r>
      <w:r w:rsidR="009D4CE8">
        <w:rPr>
          <w:lang w:val="en-US"/>
        </w:rPr>
        <w:t>9</w:t>
      </w:r>
      <w:r>
        <w:rPr>
          <w:lang w:val="en-US"/>
        </w:rPr>
        <w:t xml:space="preserve">(b) we see that the capex required to serve the load is ~40% greater for </w:t>
      </w:r>
      <w:r w:rsidR="007D2885">
        <w:rPr>
          <w:lang w:val="en-US"/>
        </w:rPr>
        <w:t xml:space="preserve">Tr0 </w:t>
      </w:r>
      <w:r>
        <w:rPr>
          <w:lang w:val="en-US"/>
        </w:rPr>
        <w:t xml:space="preserve">than for </w:t>
      </w:r>
      <w:r w:rsidR="007D2885">
        <w:rPr>
          <w:lang w:val="en-US"/>
        </w:rPr>
        <w:t xml:space="preserve">FxL+15 </w:t>
      </w:r>
      <w:r>
        <w:rPr>
          <w:lang w:val="en-US"/>
        </w:rPr>
        <w:t xml:space="preserve">collectors for </w:t>
      </w:r>
      <w:r w:rsidR="007D2885">
        <w:rPr>
          <w:lang w:val="en-US"/>
        </w:rPr>
        <w:t xml:space="preserve">the case of </w:t>
      </w:r>
      <w:r>
        <w:rPr>
          <w:lang w:val="en-US"/>
        </w:rPr>
        <w:t xml:space="preserve">10-day storage. This is a remarkable result: whereas Fig. 5 shows clearly that </w:t>
      </w:r>
      <w:r w:rsidR="007D2885">
        <w:rPr>
          <w:lang w:val="en-US"/>
        </w:rPr>
        <w:t>Tr0</w:t>
      </w:r>
      <w:r>
        <w:rPr>
          <w:lang w:val="en-US"/>
        </w:rPr>
        <w:t xml:space="preserve"> is the most cost-competitive configuration and </w:t>
      </w:r>
      <w:r w:rsidR="007D2885">
        <w:rPr>
          <w:lang w:val="en-US"/>
        </w:rPr>
        <w:t xml:space="preserve">FxL+15 </w:t>
      </w:r>
      <w:r>
        <w:rPr>
          <w:lang w:val="en-US"/>
        </w:rPr>
        <w:t xml:space="preserve">is the least competitive when the timing of generation is ignored, Fig. </w:t>
      </w:r>
      <w:r w:rsidR="009D4CE8">
        <w:rPr>
          <w:lang w:val="en-US"/>
        </w:rPr>
        <w:t>9</w:t>
      </w:r>
      <w:r>
        <w:rPr>
          <w:lang w:val="en-US"/>
        </w:rPr>
        <w:t>(b) shows the opposite is true if the objective is to serve the whole load throughout the year</w:t>
      </w:r>
      <w:r w:rsidR="002F5DAA">
        <w:rPr>
          <w:lang w:val="en-US"/>
        </w:rPr>
        <w:t>,</w:t>
      </w:r>
      <w:r w:rsidR="0086380A">
        <w:rPr>
          <w:lang w:val="en-US"/>
        </w:rPr>
        <w:t xml:space="preserve"> </w:t>
      </w:r>
      <w:r w:rsidR="002F5DAA">
        <w:rPr>
          <w:lang w:val="en-US"/>
        </w:rPr>
        <w:t xml:space="preserve">unless </w:t>
      </w:r>
      <w:r w:rsidR="002C6C2E">
        <w:rPr>
          <w:lang w:val="en-US"/>
        </w:rPr>
        <w:t xml:space="preserve">either </w:t>
      </w:r>
      <w:r w:rsidR="002F5DAA">
        <w:rPr>
          <w:lang w:val="en-US"/>
        </w:rPr>
        <w:t xml:space="preserve">storage is </w:t>
      </w:r>
      <w:r w:rsidR="005118C5">
        <w:rPr>
          <w:lang w:val="en-US"/>
        </w:rPr>
        <w:t>extremely cheap (well under $0.01/kWh</w:t>
      </w:r>
      <w:r w:rsidR="00AB3344">
        <w:rPr>
          <w:lang w:val="en-US"/>
        </w:rPr>
        <w:t>)</w:t>
      </w:r>
      <w:r w:rsidR="005118C5">
        <w:rPr>
          <w:lang w:val="en-US"/>
        </w:rPr>
        <w:t xml:space="preserve">, enabling the load to be satisfied with Tr0 at capex less than the minimum feasible capex for FxL+15, </w:t>
      </w:r>
      <w:r w:rsidR="002C6C2E">
        <w:rPr>
          <w:lang w:val="en-US"/>
        </w:rPr>
        <w:t xml:space="preserve"> or </w:t>
      </w:r>
      <w:r w:rsidR="005118C5">
        <w:rPr>
          <w:lang w:val="en-US"/>
        </w:rPr>
        <w:t xml:space="preserve">else </w:t>
      </w:r>
      <w:r w:rsidR="002C6C2E">
        <w:rPr>
          <w:lang w:val="en-US"/>
        </w:rPr>
        <w:t>PV is so overbuilt that both configurations have essentially equal storage requirements</w:t>
      </w:r>
      <w:r>
        <w:rPr>
          <w:lang w:val="en-US"/>
        </w:rPr>
        <w:t>.</w:t>
      </w:r>
      <w:r w:rsidR="00C91607">
        <w:rPr>
          <w:lang w:val="en-US"/>
        </w:rPr>
        <w:t xml:space="preserve"> </w:t>
      </w:r>
      <w:bookmarkStart w:id="3" w:name="_Hlk96784405"/>
      <w:r w:rsidR="00C91607">
        <w:rPr>
          <w:lang w:val="en-US"/>
        </w:rPr>
        <w:t xml:space="preserve">Conversely, vertical lines in Fig. </w:t>
      </w:r>
      <w:r w:rsidR="009D4CE8">
        <w:rPr>
          <w:lang w:val="en-US"/>
        </w:rPr>
        <w:t>9</w:t>
      </w:r>
      <w:r w:rsidR="00C91607">
        <w:rPr>
          <w:lang w:val="en-US"/>
        </w:rPr>
        <w:t>(b) represent constant PV Capex, and we see that for a given Capex, Tr0 collectors require more storage capacity than FxL+15 collectors. These conclusions hold regardless of the cost of storage.</w:t>
      </w:r>
    </w:p>
    <w:bookmarkEnd w:id="3"/>
    <w:p w14:paraId="319C09D4" w14:textId="47170BE0" w:rsidR="003356D2" w:rsidRDefault="003356D2" w:rsidP="0093394D">
      <w:pPr>
        <w:pStyle w:val="BodyText"/>
        <w:rPr>
          <w:lang w:val="en-US"/>
        </w:rPr>
      </w:pPr>
      <w:r>
        <w:rPr>
          <w:lang w:val="en-US"/>
        </w:rPr>
        <w:t xml:space="preserve">Fig. </w:t>
      </w:r>
      <w:r w:rsidR="00FD00A1">
        <w:rPr>
          <w:lang w:val="en-US"/>
        </w:rPr>
        <w:t>10</w:t>
      </w:r>
      <w:r w:rsidR="00FD00A1">
        <w:rPr>
          <w:lang w:val="en-US"/>
        </w:rPr>
        <w:t xml:space="preserve"> </w:t>
      </w:r>
      <w:r>
        <w:rPr>
          <w:lang w:val="en-US"/>
        </w:rPr>
        <w:t xml:space="preserve">shows the </w:t>
      </w:r>
      <w:r w:rsidR="001B643B">
        <w:rPr>
          <w:lang w:val="en-US"/>
        </w:rPr>
        <w:t xml:space="preserve">distribution of energy holding time in storage </w:t>
      </w:r>
      <w:r w:rsidR="00A512D7">
        <w:rPr>
          <w:lang w:val="en-US"/>
        </w:rPr>
        <w:t xml:space="preserve">through </w:t>
      </w:r>
      <w:r w:rsidR="00DF1070">
        <w:rPr>
          <w:lang w:val="en-US"/>
        </w:rPr>
        <w:t>two</w:t>
      </w:r>
      <w:r w:rsidR="001B643B">
        <w:rPr>
          <w:lang w:val="en-US"/>
        </w:rPr>
        <w:t xml:space="preserve"> </w:t>
      </w:r>
      <w:r w:rsidR="00A512D7">
        <w:rPr>
          <w:lang w:val="en-US"/>
        </w:rPr>
        <w:t>comparisons</w:t>
      </w:r>
      <w:r w:rsidR="001B643B">
        <w:rPr>
          <w:lang w:val="en-US"/>
        </w:rPr>
        <w:t xml:space="preserve">, using the progressive aggregation procedure described in Section </w:t>
      </w:r>
      <w:r w:rsidR="003500A9">
        <w:rPr>
          <w:lang w:val="en-US"/>
        </w:rPr>
        <w:t>IIC</w:t>
      </w:r>
      <w:r w:rsidR="001B643B">
        <w:rPr>
          <w:lang w:val="en-US"/>
        </w:rPr>
        <w:t xml:space="preserve">, now focusing just on the comparison between </w:t>
      </w:r>
      <w:r w:rsidR="00A512D7">
        <w:rPr>
          <w:lang w:val="en-US"/>
        </w:rPr>
        <w:t xml:space="preserve">Tr0 </w:t>
      </w:r>
      <w:r w:rsidR="001B643B">
        <w:rPr>
          <w:lang w:val="en-US"/>
        </w:rPr>
        <w:t xml:space="preserve">and </w:t>
      </w:r>
      <w:r w:rsidR="00A512D7">
        <w:rPr>
          <w:lang w:val="en-US"/>
        </w:rPr>
        <w:t xml:space="preserve">FxL+15 </w:t>
      </w:r>
      <w:r w:rsidR="001B643B">
        <w:rPr>
          <w:lang w:val="en-US"/>
        </w:rPr>
        <w:t xml:space="preserve">configurations. In Fig. </w:t>
      </w:r>
      <w:r w:rsidR="00FD00A1">
        <w:rPr>
          <w:lang w:val="en-US"/>
        </w:rPr>
        <w:t>10</w:t>
      </w:r>
      <w:r w:rsidR="001B643B">
        <w:rPr>
          <w:lang w:val="en-US"/>
        </w:rPr>
        <w:t>(a) the holding time distribution is shown for systems of equal nameplate capacity of 6.2W</w:t>
      </w:r>
      <w:r w:rsidR="001B643B" w:rsidRPr="001B643B">
        <w:rPr>
          <w:vertAlign w:val="subscript"/>
          <w:lang w:val="en-US"/>
        </w:rPr>
        <w:t>DC</w:t>
      </w:r>
      <w:r w:rsidR="001B643B">
        <w:rPr>
          <w:lang w:val="en-US"/>
        </w:rPr>
        <w:t xml:space="preserve">, and reveals that for this case, not only is the total storage requirement for </w:t>
      </w:r>
      <w:r w:rsidR="007D2885">
        <w:rPr>
          <w:lang w:val="en-US"/>
        </w:rPr>
        <w:t xml:space="preserve">Tr0 </w:t>
      </w:r>
      <w:r w:rsidR="001B643B">
        <w:rPr>
          <w:lang w:val="en-US"/>
        </w:rPr>
        <w:t xml:space="preserve">much greater than for </w:t>
      </w:r>
      <w:r w:rsidR="007D2885">
        <w:rPr>
          <w:lang w:val="en-US"/>
        </w:rPr>
        <w:t xml:space="preserve">FxL+15 </w:t>
      </w:r>
      <w:r w:rsidR="001B643B">
        <w:rPr>
          <w:lang w:val="en-US"/>
        </w:rPr>
        <w:t xml:space="preserve">(2.8 times greater), but additionally most of the increased storage needed is interseasonal storage of </w:t>
      </w:r>
      <w:r w:rsidR="00DF1070">
        <w:rPr>
          <w:lang w:val="en-US"/>
        </w:rPr>
        <w:t>1</w:t>
      </w:r>
      <w:r w:rsidR="001B643B">
        <w:rPr>
          <w:lang w:val="en-US"/>
        </w:rPr>
        <w:t xml:space="preserve">–6 months holding time. </w:t>
      </w:r>
      <w:r w:rsidR="00CD6F62">
        <w:rPr>
          <w:lang w:val="en-US"/>
        </w:rPr>
        <w:t xml:space="preserve">Fig. </w:t>
      </w:r>
      <w:r w:rsidR="00FD00A1">
        <w:rPr>
          <w:lang w:val="en-US"/>
        </w:rPr>
        <w:t>10</w:t>
      </w:r>
      <w:r w:rsidR="00CD6F62">
        <w:rPr>
          <w:lang w:val="en-US"/>
        </w:rPr>
        <w:t>(b) compares systems of equal PV Capex</w:t>
      </w:r>
      <w:r w:rsidR="00D92849">
        <w:rPr>
          <w:lang w:val="en-US"/>
        </w:rPr>
        <w:t xml:space="preserve"> (higher overall capacity than in Fig. </w:t>
      </w:r>
      <w:r w:rsidR="00FD00A1">
        <w:rPr>
          <w:lang w:val="en-US"/>
        </w:rPr>
        <w:t>10</w:t>
      </w:r>
      <w:r w:rsidR="00D92849">
        <w:rPr>
          <w:lang w:val="en-US"/>
        </w:rPr>
        <w:t xml:space="preserve">(a) as indicated in the inset table in Fig. </w:t>
      </w:r>
      <w:r w:rsidR="00FD00A1">
        <w:rPr>
          <w:lang w:val="en-US"/>
        </w:rPr>
        <w:t>10</w:t>
      </w:r>
      <w:r w:rsidR="00D92849">
        <w:rPr>
          <w:lang w:val="en-US"/>
        </w:rPr>
        <w:t xml:space="preserve">(b); this Capex corresponds to tat </w:t>
      </w:r>
      <w:r w:rsidR="008B6F59">
        <w:rPr>
          <w:noProof/>
          <w:lang w:val="en-US"/>
        </w:rPr>
        <w:lastRenderedPageBreak/>
        <w:drawing>
          <wp:inline distT="0" distB="0" distL="0" distR="0" wp14:anchorId="1D607344" wp14:editId="794E2CBB">
            <wp:extent cx="3115310" cy="6785610"/>
            <wp:effectExtent l="0" t="0" r="8890" b="0"/>
            <wp:docPr id="54" name="Picture 5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15310" cy="6785610"/>
                    </a:xfrm>
                    <a:prstGeom prst="rect">
                      <a:avLst/>
                    </a:prstGeom>
                    <a:noFill/>
                  </pic:spPr>
                </pic:pic>
              </a:graphicData>
            </a:graphic>
          </wp:inline>
        </w:drawing>
      </w:r>
      <w:r w:rsidR="00D92849">
        <w:rPr>
          <w:lang w:val="en-US"/>
        </w:rPr>
        <w:t>needed for Tr0 to serve the 1W average load with 10 days of storage)</w:t>
      </w:r>
      <w:r w:rsidR="00CD6F62">
        <w:rPr>
          <w:lang w:val="en-US"/>
        </w:rPr>
        <w:t xml:space="preserve"> and shows an even greater penalty (4.1times greater) in storage required for </w:t>
      </w:r>
      <w:r w:rsidR="007D2885">
        <w:rPr>
          <w:lang w:val="en-US"/>
        </w:rPr>
        <w:t>Tr0</w:t>
      </w:r>
      <w:r w:rsidR="00CD6F62">
        <w:rPr>
          <w:lang w:val="en-US"/>
        </w:rPr>
        <w:t xml:space="preserve">, again </w:t>
      </w:r>
      <w:r w:rsidR="00D92849">
        <w:rPr>
          <w:lang w:val="en-US"/>
        </w:rPr>
        <w:t xml:space="preserve">with </w:t>
      </w:r>
      <w:r w:rsidR="005279B5">
        <w:rPr>
          <w:lang w:val="en-US"/>
        </w:rPr>
        <w:t>some of the storage</w:t>
      </w:r>
      <w:r w:rsidR="00CD6F62">
        <w:rPr>
          <w:lang w:val="en-US"/>
        </w:rPr>
        <w:t xml:space="preserve"> </w:t>
      </w:r>
      <w:r w:rsidR="00D92849">
        <w:rPr>
          <w:lang w:val="en-US"/>
        </w:rPr>
        <w:t xml:space="preserve">requiring </w:t>
      </w:r>
      <w:r w:rsidR="005279B5">
        <w:rPr>
          <w:lang w:val="en-US"/>
        </w:rPr>
        <w:t xml:space="preserve">longer </w:t>
      </w:r>
      <w:r w:rsidR="00CD6F62">
        <w:rPr>
          <w:lang w:val="en-US"/>
        </w:rPr>
        <w:t xml:space="preserve">hold times. </w:t>
      </w:r>
    </w:p>
    <w:p w14:paraId="13AF9C5F" w14:textId="2D9F88CC" w:rsidR="004D32CD" w:rsidRPr="00A356A6" w:rsidRDefault="004D32CD" w:rsidP="004D32CD">
      <w:pPr>
        <w:pStyle w:val="Heading2"/>
      </w:pPr>
      <w:r>
        <w:t>Effect of Supplementary Dispatchable Energy on Storage Requirement</w:t>
      </w:r>
    </w:p>
    <w:p w14:paraId="04C9F508" w14:textId="7C6C43D4" w:rsidR="00DC3175" w:rsidRDefault="009A6496" w:rsidP="00DC3175">
      <w:pPr>
        <w:pStyle w:val="BodyText"/>
        <w:rPr>
          <w:lang w:val="en-US"/>
        </w:rPr>
      </w:pPr>
      <w:r>
        <w:rPr>
          <w:lang w:val="en-US"/>
        </w:rPr>
        <w:t xml:space="preserve">Since the storage requirement is driven by episodes of extended low solar resource compared to the load, a useful question is how much the storage requirement can be reduced by use of a dispatchable generation source such as a gas or hydrogen turbine or hydrogen fuel cell. </w:t>
      </w:r>
      <w:r w:rsidR="00DC3175">
        <w:rPr>
          <w:lang w:val="en-US"/>
        </w:rPr>
        <w:t xml:space="preserve">This question has been </w:t>
      </w:r>
      <w:r w:rsidR="008B6F59">
        <w:rPr>
          <w:noProof/>
          <w:lang w:val="en-US"/>
        </w:rPr>
        <w:drawing>
          <wp:inline distT="0" distB="0" distL="0" distR="0" wp14:anchorId="1147F292" wp14:editId="00DD427F">
            <wp:extent cx="3091180" cy="5524500"/>
            <wp:effectExtent l="0" t="0" r="0" b="0"/>
            <wp:docPr id="55" name="Picture 5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1180" cy="5524500"/>
                    </a:xfrm>
                    <a:prstGeom prst="rect">
                      <a:avLst/>
                    </a:prstGeom>
                    <a:noFill/>
                  </pic:spPr>
                </pic:pic>
              </a:graphicData>
            </a:graphic>
          </wp:inline>
        </w:drawing>
      </w:r>
      <w:r w:rsidR="00DC3175">
        <w:rPr>
          <w:lang w:val="en-US"/>
        </w:rPr>
        <w:t>addressed in some of the prior studies. For example, the Electrification Futures Study[</w:t>
      </w:r>
      <w:r w:rsidR="00F46F12">
        <w:rPr>
          <w:lang w:val="en-US"/>
        </w:rPr>
        <w:t>13</w:t>
      </w:r>
      <w:r w:rsidR="00DC3175">
        <w:rPr>
          <w:lang w:val="en-US"/>
        </w:rPr>
        <w:t>] forecasted that w</w:t>
      </w:r>
      <w:r w:rsidR="00DC3175" w:rsidRPr="008B1A65">
        <w:rPr>
          <w:lang w:val="en-US"/>
        </w:rPr>
        <w:t xml:space="preserve">inter peak demand </w:t>
      </w:r>
      <w:r w:rsidR="00DC3175">
        <w:rPr>
          <w:lang w:val="en-US"/>
        </w:rPr>
        <w:t xml:space="preserve">will be </w:t>
      </w:r>
      <w:r w:rsidR="00DC3175" w:rsidRPr="008B1A65">
        <w:rPr>
          <w:lang w:val="en-US"/>
        </w:rPr>
        <w:t>largely met by generation from natural gas-combined cycle (NG-CC) and wind</w:t>
      </w:r>
      <w:r w:rsidR="00DC3175">
        <w:rPr>
          <w:lang w:val="en-US"/>
        </w:rPr>
        <w:t xml:space="preserve"> </w:t>
      </w:r>
      <w:r w:rsidR="00DC3175" w:rsidRPr="008B1A65">
        <w:rPr>
          <w:lang w:val="en-US"/>
        </w:rPr>
        <w:t>solar resource availability is lower in winter than in summer</w:t>
      </w:r>
      <w:r w:rsidR="00DC3175">
        <w:rPr>
          <w:lang w:val="en-US"/>
        </w:rPr>
        <w:t>, and more so in high electrification scenarios</w:t>
      </w:r>
      <w:r w:rsidR="00DC3175" w:rsidRPr="008B1A65">
        <w:rPr>
          <w:lang w:val="en-US"/>
        </w:rPr>
        <w:t xml:space="preserve">. </w:t>
      </w:r>
      <w:r w:rsidR="00DC3175">
        <w:rPr>
          <w:lang w:val="en-US"/>
        </w:rPr>
        <w:t xml:space="preserve">Cole[14] proposed combustion turbines using renewable fuels as a lower cost alternative to conventional storage.  </w:t>
      </w:r>
    </w:p>
    <w:p w14:paraId="57E99907" w14:textId="5758F95D" w:rsidR="009A6496" w:rsidRDefault="009A6496" w:rsidP="0093394D">
      <w:pPr>
        <w:pStyle w:val="BodyText"/>
        <w:rPr>
          <w:lang w:val="en-US"/>
        </w:rPr>
      </w:pPr>
      <w:r>
        <w:rPr>
          <w:lang w:val="en-US"/>
        </w:rPr>
        <w:t xml:space="preserve">Fig. </w:t>
      </w:r>
      <w:r w:rsidR="00FD00A1">
        <w:rPr>
          <w:lang w:val="en-US"/>
        </w:rPr>
        <w:t>11</w:t>
      </w:r>
      <w:r w:rsidR="00FD00A1">
        <w:rPr>
          <w:lang w:val="en-US"/>
        </w:rPr>
        <w:t xml:space="preserve"> </w:t>
      </w:r>
      <w:r>
        <w:rPr>
          <w:lang w:val="en-US"/>
        </w:rPr>
        <w:t xml:space="preserve">shows the reduction in storage needed as a function of the amount of supplemental energy from a dispatchable source, assuming it is optimally dispatched </w:t>
      </w:r>
      <w:r w:rsidR="00FB1456">
        <w:rPr>
          <w:lang w:val="en-US"/>
        </w:rPr>
        <w:t xml:space="preserve">(as described in section IIC). Even a very small amount of energy dispatched at the right time can significantly reduce the storage needed. The curves shown are for a case of equal capex for all the PV configurations, corresponding to the $8.51 capex needed to </w:t>
      </w:r>
      <w:r w:rsidR="00913794">
        <w:rPr>
          <w:lang w:val="en-US"/>
        </w:rPr>
        <w:t xml:space="preserve">serve the 1W average load and </w:t>
      </w:r>
      <w:r w:rsidR="00FB1456">
        <w:rPr>
          <w:lang w:val="en-US"/>
        </w:rPr>
        <w:t xml:space="preserve">achieve 10 days </w:t>
      </w:r>
      <w:r w:rsidR="00913794">
        <w:rPr>
          <w:lang w:val="en-US"/>
        </w:rPr>
        <w:t>storage</w:t>
      </w:r>
      <w:r w:rsidR="00FB1456">
        <w:rPr>
          <w:lang w:val="en-US"/>
        </w:rPr>
        <w:t xml:space="preserve"> for the </w:t>
      </w:r>
      <w:r w:rsidR="00AA6FE7">
        <w:rPr>
          <w:lang w:val="en-US"/>
        </w:rPr>
        <w:t xml:space="preserve">Tr0 </w:t>
      </w:r>
      <w:r w:rsidR="00FB1456">
        <w:rPr>
          <w:lang w:val="en-US"/>
        </w:rPr>
        <w:t>configuration, and clearly illustrate that a given storage target can be met with significantly less dispatchab</w:t>
      </w:r>
      <w:r w:rsidR="005B75E2">
        <w:rPr>
          <w:lang w:val="en-US"/>
        </w:rPr>
        <w:t>l</w:t>
      </w:r>
      <w:r w:rsidR="00FB1456">
        <w:rPr>
          <w:lang w:val="en-US"/>
        </w:rPr>
        <w:t xml:space="preserve">e energy (fuel burn in the case of a turbine) for </w:t>
      </w:r>
      <w:r w:rsidR="00AA6FE7">
        <w:rPr>
          <w:lang w:val="en-US"/>
        </w:rPr>
        <w:t>FxL+15</w:t>
      </w:r>
      <w:r w:rsidR="00FB1456">
        <w:rPr>
          <w:lang w:val="en-US"/>
        </w:rPr>
        <w:t xml:space="preserve"> compared to </w:t>
      </w:r>
      <w:r w:rsidR="00AA6FE7">
        <w:rPr>
          <w:lang w:val="en-US"/>
        </w:rPr>
        <w:t xml:space="preserve">Tr0 </w:t>
      </w:r>
      <w:r w:rsidR="00FB1456">
        <w:rPr>
          <w:lang w:val="en-US"/>
        </w:rPr>
        <w:t>plants.</w:t>
      </w:r>
    </w:p>
    <w:p w14:paraId="0B633BEE" w14:textId="3855E90B" w:rsidR="00DA76A1" w:rsidRDefault="00DA76A1" w:rsidP="00DA76A1">
      <w:pPr>
        <w:pStyle w:val="BodyText"/>
        <w:ind w:firstLine="0pt"/>
        <w:rPr>
          <w:lang w:val="en-US"/>
        </w:rPr>
      </w:pPr>
      <w:r>
        <w:rPr>
          <w:noProof/>
          <w:lang w:val="en-US"/>
        </w:rPr>
        <w:lastRenderedPageBreak/>
        <w:drawing>
          <wp:inline distT="0" distB="0" distL="0" distR="0" wp14:anchorId="4D5C25CE" wp14:editId="4F8A42E6">
            <wp:extent cx="3145790" cy="3970020"/>
            <wp:effectExtent l="0" t="0" r="0" b="0"/>
            <wp:docPr id="56" name="Picture 5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45790" cy="3970020"/>
                    </a:xfrm>
                    <a:prstGeom prst="rect">
                      <a:avLst/>
                    </a:prstGeom>
                    <a:noFill/>
                  </pic:spPr>
                </pic:pic>
              </a:graphicData>
            </a:graphic>
          </wp:inline>
        </w:drawing>
      </w:r>
    </w:p>
    <w:p w14:paraId="6C30269E" w14:textId="3F1829B6" w:rsidR="004D32CD" w:rsidRPr="00A356A6" w:rsidRDefault="004D32CD" w:rsidP="004D32CD">
      <w:pPr>
        <w:pStyle w:val="Heading2"/>
      </w:pPr>
      <w:r>
        <w:t>Effect of PV Configuration on Energy Available for Secondary Uses</w:t>
      </w:r>
    </w:p>
    <w:p w14:paraId="652EBE14" w14:textId="3A514229" w:rsidR="00A77F54" w:rsidRDefault="004D32CD" w:rsidP="00C5687A">
      <w:pPr>
        <w:pStyle w:val="BodyText"/>
        <w:rPr>
          <w:lang w:val="en-US"/>
        </w:rPr>
      </w:pPr>
      <w:r>
        <w:rPr>
          <w:lang w:val="en-US"/>
        </w:rPr>
        <w:t>T</w:t>
      </w:r>
      <w:r w:rsidR="00C5687A">
        <w:rPr>
          <w:lang w:val="en-US"/>
        </w:rPr>
        <w:t>here is an emerging consensus that cost-effective decarbonization of the electric grid must incorporate cross-sector coupling of electric generation (to serve newly electrified loads in transportation, heating, hydrogen electrolysis, and synthetic fuel production)[</w:t>
      </w:r>
      <w:r w:rsidR="0049301F">
        <w:rPr>
          <w:lang w:val="en-US"/>
        </w:rPr>
        <w:t>34</w:t>
      </w:r>
      <w:r w:rsidR="00C5687A">
        <w:rPr>
          <w:lang w:val="en-US"/>
        </w:rPr>
        <w:t xml:space="preserve">]. All the configurations considered above have some degree of excess generation that must be lost to curtailment, or preferably, supplied to secondary loads for cross-sector use cases. </w:t>
      </w:r>
      <w:r w:rsidR="00A77F54">
        <w:rPr>
          <w:lang w:val="en-US"/>
        </w:rPr>
        <w:t xml:space="preserve">Such use cases include electrolysis for intermittent generation of hydrogen, or intermittent generation of thermal energy that is stored for process heat. </w:t>
      </w:r>
    </w:p>
    <w:p w14:paraId="11FD34A5" w14:textId="5A63E88C" w:rsidR="00707DD5" w:rsidRDefault="00C5687A" w:rsidP="00C5687A">
      <w:pPr>
        <w:pStyle w:val="BodyText"/>
        <w:rPr>
          <w:lang w:val="en-US"/>
        </w:rPr>
      </w:pPr>
      <w:r>
        <w:rPr>
          <w:lang w:val="en-US"/>
        </w:rPr>
        <w:t xml:space="preserve">Fig. </w:t>
      </w:r>
      <w:r w:rsidR="00FD00A1">
        <w:rPr>
          <w:lang w:val="en-US"/>
        </w:rPr>
        <w:t>12</w:t>
      </w:r>
      <w:r w:rsidR="00FD00A1">
        <w:rPr>
          <w:lang w:val="en-US"/>
        </w:rPr>
        <w:t xml:space="preserve"> </w:t>
      </w:r>
      <w:r>
        <w:rPr>
          <w:lang w:val="en-US"/>
        </w:rPr>
        <w:t xml:space="preserve">shows the daily </w:t>
      </w:r>
      <w:r w:rsidR="007F3337">
        <w:rPr>
          <w:lang w:val="en-US"/>
        </w:rPr>
        <w:t>surplus electricity</w:t>
      </w:r>
      <w:r>
        <w:rPr>
          <w:lang w:val="en-US"/>
        </w:rPr>
        <w:t xml:space="preserve"> (a 3-day moving average is shown for visual clarity) for </w:t>
      </w:r>
      <w:r w:rsidR="00AA6FE7">
        <w:rPr>
          <w:lang w:val="en-US"/>
        </w:rPr>
        <w:t>FxL+15</w:t>
      </w:r>
      <w:r>
        <w:rPr>
          <w:lang w:val="en-US"/>
        </w:rPr>
        <w:t xml:space="preserve">, </w:t>
      </w:r>
      <w:r w:rsidR="00AA6FE7">
        <w:rPr>
          <w:lang w:val="en-US"/>
        </w:rPr>
        <w:t>FxL</w:t>
      </w:r>
      <w:r>
        <w:rPr>
          <w:lang w:val="en-US"/>
        </w:rPr>
        <w:t xml:space="preserve">, and </w:t>
      </w:r>
      <w:r w:rsidR="00AA6FE7">
        <w:rPr>
          <w:lang w:val="en-US"/>
        </w:rPr>
        <w:t xml:space="preserve">Tr0 </w:t>
      </w:r>
      <w:r>
        <w:rPr>
          <w:lang w:val="en-US"/>
        </w:rPr>
        <w:t>systems for the case of equal Capex of $8.51</w:t>
      </w:r>
      <w:r w:rsidR="004D32CD">
        <w:rPr>
          <w:lang w:val="en-US"/>
        </w:rPr>
        <w:t xml:space="preserve"> (again, the capex th</w:t>
      </w:r>
      <w:r w:rsidR="00DD360D">
        <w:rPr>
          <w:lang w:val="en-US"/>
        </w:rPr>
        <w:t>at</w:t>
      </w:r>
      <w:r w:rsidR="004D32CD">
        <w:rPr>
          <w:lang w:val="en-US"/>
        </w:rPr>
        <w:t xml:space="preserve"> results in 10 days of storage for </w:t>
      </w:r>
      <w:r w:rsidR="00AA6FE7">
        <w:rPr>
          <w:lang w:val="en-US"/>
        </w:rPr>
        <w:t>Tr0</w:t>
      </w:r>
      <w:r w:rsidR="004D32CD">
        <w:rPr>
          <w:lang w:val="en-US"/>
        </w:rPr>
        <w:t>)</w:t>
      </w:r>
      <w:r>
        <w:rPr>
          <w:lang w:val="en-US"/>
        </w:rPr>
        <w:t xml:space="preserve">. Deploying cross-sector uses of this </w:t>
      </w:r>
      <w:r w:rsidR="007F3337">
        <w:rPr>
          <w:lang w:val="en-US"/>
        </w:rPr>
        <w:t>intermittent surplus electricity</w:t>
      </w:r>
      <w:r>
        <w:rPr>
          <w:lang w:val="en-US"/>
        </w:rPr>
        <w:t xml:space="preserve"> partially offsets the cost of the power system through revenues earned from those uses. </w:t>
      </w:r>
    </w:p>
    <w:p w14:paraId="36DCBFB6" w14:textId="02446C80" w:rsidR="00707DD5" w:rsidRDefault="00C5687A" w:rsidP="00C5687A">
      <w:pPr>
        <w:pStyle w:val="BodyText"/>
        <w:rPr>
          <w:lang w:val="en-US"/>
        </w:rPr>
      </w:pPr>
      <w:r>
        <w:rPr>
          <w:lang w:val="en-US"/>
        </w:rPr>
        <w:t xml:space="preserve">Whatever the nature of the cross-sector use, the </w:t>
      </w:r>
      <w:r w:rsidR="007F3337">
        <w:rPr>
          <w:lang w:val="en-US"/>
        </w:rPr>
        <w:t>surplus electricity</w:t>
      </w:r>
      <w:r>
        <w:rPr>
          <w:lang w:val="en-US"/>
        </w:rPr>
        <w:t xml:space="preserve"> must be supplied to some type of equipment whose capacity to use the </w:t>
      </w:r>
      <w:r w:rsidR="00707DD5">
        <w:rPr>
          <w:lang w:val="en-US"/>
        </w:rPr>
        <w:t xml:space="preserve">electricity </w:t>
      </w:r>
      <w:r>
        <w:rPr>
          <w:lang w:val="en-US"/>
        </w:rPr>
        <w:t xml:space="preserve">represents an investment. </w:t>
      </w:r>
      <w:r w:rsidR="00707DD5">
        <w:rPr>
          <w:lang w:val="en-US"/>
        </w:rPr>
        <w:t>Ordinarily, facilities expect input electricity to be available 100% of the time</w:t>
      </w:r>
      <w:r w:rsidR="003A4225">
        <w:rPr>
          <w:lang w:val="en-US"/>
        </w:rPr>
        <w:t xml:space="preserve">, but the electricity in Fig. </w:t>
      </w:r>
      <w:r w:rsidR="00FD00A1">
        <w:rPr>
          <w:lang w:val="en-US"/>
        </w:rPr>
        <w:t>12</w:t>
      </w:r>
      <w:r w:rsidR="00FD00A1">
        <w:rPr>
          <w:lang w:val="en-US"/>
        </w:rPr>
        <w:t xml:space="preserve"> </w:t>
      </w:r>
      <w:r w:rsidR="003A4225">
        <w:rPr>
          <w:lang w:val="en-US"/>
        </w:rPr>
        <w:t>is what is left over after meeting 100% of the loads of ordinary facilities. A facility using the surplus electricity must suffer a loss of productive capacity due to the intermittent supply of electricity, in addition to any losses it may incur from other causes such as failures or maintenance.</w:t>
      </w:r>
    </w:p>
    <w:p w14:paraId="6FD9F6E2" w14:textId="0EC4A6F7" w:rsidR="00C5687A" w:rsidRDefault="003A4225" w:rsidP="00C5687A">
      <w:pPr>
        <w:pStyle w:val="BodyText"/>
        <w:rPr>
          <w:lang w:val="en-US"/>
        </w:rPr>
      </w:pPr>
      <w:r>
        <w:rPr>
          <w:lang w:val="en-US"/>
        </w:rPr>
        <w:t>I</w:t>
      </w:r>
      <w:r w:rsidR="004D32CD">
        <w:rPr>
          <w:lang w:val="en-US"/>
        </w:rPr>
        <w:t xml:space="preserve">f the equipment </w:t>
      </w:r>
      <w:r w:rsidR="00A77F54">
        <w:rPr>
          <w:lang w:val="en-US"/>
        </w:rPr>
        <w:t xml:space="preserve">can use at most </w:t>
      </w:r>
      <w:r w:rsidR="004D32CD">
        <w:rPr>
          <w:lang w:val="en-US"/>
        </w:rPr>
        <w:t xml:space="preserve">C </w:t>
      </w:r>
      <w:r w:rsidR="00A77F54">
        <w:rPr>
          <w:lang w:val="en-US"/>
        </w:rPr>
        <w:t xml:space="preserve">units of daily </w:t>
      </w:r>
      <w:r w:rsidR="007F3337">
        <w:rPr>
          <w:lang w:val="en-US"/>
        </w:rPr>
        <w:t>surplus electricity</w:t>
      </w:r>
      <w:r w:rsidR="004D32CD">
        <w:rPr>
          <w:lang w:val="en-US"/>
        </w:rPr>
        <w:t xml:space="preserve"> </w:t>
      </w:r>
      <w:r w:rsidR="00A77F54">
        <w:rPr>
          <w:lang w:val="en-US"/>
        </w:rPr>
        <w:t>E, then on any given day the equipment will use C units if E &gt; C, or E units if E &lt; C</w:t>
      </w:r>
      <w:r w:rsidR="008B4627">
        <w:rPr>
          <w:lang w:val="en-US"/>
        </w:rPr>
        <w:t>.</w:t>
      </w:r>
      <w:r w:rsidR="004D32CD">
        <w:rPr>
          <w:lang w:val="en-US"/>
        </w:rPr>
        <w:t xml:space="preserve"> </w:t>
      </w:r>
      <w:r w:rsidR="00C5687A">
        <w:rPr>
          <w:lang w:val="en-US"/>
        </w:rPr>
        <w:t xml:space="preserve">In Fig. </w:t>
      </w:r>
      <w:r w:rsidR="00FD00A1">
        <w:rPr>
          <w:lang w:val="en-US"/>
        </w:rPr>
        <w:t>13</w:t>
      </w:r>
      <w:r w:rsidR="00C5687A">
        <w:rPr>
          <w:lang w:val="en-US"/>
        </w:rPr>
        <w:t xml:space="preserve">, this equipment </w:t>
      </w:r>
      <w:r w:rsidR="006E3DDA">
        <w:rPr>
          <w:lang w:val="en-US"/>
        </w:rPr>
        <w:t xml:space="preserve">utilization factor </w:t>
      </w:r>
      <w:r w:rsidR="00C5687A">
        <w:rPr>
          <w:lang w:val="en-US"/>
        </w:rPr>
        <w:t xml:space="preserve">is expressed in terms of the maximum </w:t>
      </w:r>
      <w:r w:rsidR="007F3337">
        <w:rPr>
          <w:lang w:val="en-US"/>
        </w:rPr>
        <w:t xml:space="preserve">electricity </w:t>
      </w:r>
      <w:r w:rsidR="00C5687A">
        <w:rPr>
          <w:lang w:val="en-US"/>
        </w:rPr>
        <w:t xml:space="preserve">input it can utilize, and the resulting </w:t>
      </w:r>
      <w:r w:rsidR="006E3DDA">
        <w:rPr>
          <w:lang w:val="en-US"/>
        </w:rPr>
        <w:t xml:space="preserve">equipment </w:t>
      </w:r>
      <w:r w:rsidR="00A77F54">
        <w:rPr>
          <w:lang w:val="en-US"/>
        </w:rPr>
        <w:t>utilization</w:t>
      </w:r>
      <w:r w:rsidR="00C5687A">
        <w:rPr>
          <w:lang w:val="en-US"/>
        </w:rPr>
        <w:t xml:space="preserve"> factor shown is the fraction of time the secondary use equipment receives energy at its rated capacity</w:t>
      </w:r>
      <w:r w:rsidR="00A77F54">
        <w:rPr>
          <w:lang w:val="en-US"/>
        </w:rPr>
        <w:t xml:space="preserve"> (analogous to capacity factor</w:t>
      </w:r>
      <w:r w:rsidR="00407D09">
        <w:rPr>
          <w:lang w:val="en-US"/>
        </w:rPr>
        <w:t xml:space="preserve">, but for availability of input </w:t>
      </w:r>
      <w:r w:rsidR="00DD360D">
        <w:rPr>
          <w:lang w:val="en-US"/>
        </w:rPr>
        <w:t xml:space="preserve">electricity </w:t>
      </w:r>
      <w:r w:rsidR="00407D09">
        <w:rPr>
          <w:lang w:val="en-US"/>
        </w:rPr>
        <w:t>rather than equipment capability)</w:t>
      </w:r>
      <w:r w:rsidR="00C5687A">
        <w:rPr>
          <w:lang w:val="en-US"/>
        </w:rPr>
        <w:t xml:space="preserve">.  At lower levels of secondary use equipment capacity (measured in Wh of peak </w:t>
      </w:r>
      <w:r w:rsidR="002F5DAA">
        <w:rPr>
          <w:lang w:val="en-US"/>
        </w:rPr>
        <w:t xml:space="preserve">daily </w:t>
      </w:r>
      <w:r w:rsidR="00C5687A">
        <w:rPr>
          <w:lang w:val="en-US"/>
        </w:rPr>
        <w:t xml:space="preserve">electric demand) the achievable </w:t>
      </w:r>
      <w:r w:rsidR="006E3DDA">
        <w:rPr>
          <w:lang w:val="en-US"/>
        </w:rPr>
        <w:t xml:space="preserve">equipment </w:t>
      </w:r>
      <w:r w:rsidR="00C5687A">
        <w:rPr>
          <w:lang w:val="en-US"/>
        </w:rPr>
        <w:t xml:space="preserve">factor is far higher with </w:t>
      </w:r>
      <w:r w:rsidR="00AA6FE7">
        <w:rPr>
          <w:lang w:val="en-US"/>
        </w:rPr>
        <w:t xml:space="preserve">FxL+15 </w:t>
      </w:r>
      <w:r w:rsidR="00C5687A">
        <w:rPr>
          <w:lang w:val="en-US"/>
        </w:rPr>
        <w:t xml:space="preserve">or </w:t>
      </w:r>
      <w:r w:rsidR="00AA6FE7">
        <w:rPr>
          <w:lang w:val="en-US"/>
        </w:rPr>
        <w:t xml:space="preserve">FxL </w:t>
      </w:r>
      <w:r w:rsidR="00C5687A">
        <w:rPr>
          <w:lang w:val="en-US"/>
        </w:rPr>
        <w:t xml:space="preserve">PV generators compared to </w:t>
      </w:r>
      <w:r w:rsidR="00AA6FE7">
        <w:rPr>
          <w:lang w:val="en-US"/>
        </w:rPr>
        <w:t>Tr0</w:t>
      </w:r>
      <w:r w:rsidR="00C5687A">
        <w:rPr>
          <w:lang w:val="en-US"/>
        </w:rPr>
        <w:t xml:space="preserve">. In this case, for the same $8.51 Capex, the </w:t>
      </w:r>
      <w:r w:rsidR="00AA6FE7">
        <w:rPr>
          <w:lang w:val="en-US"/>
        </w:rPr>
        <w:t xml:space="preserve">FxL+15 </w:t>
      </w:r>
      <w:r w:rsidR="00C5687A">
        <w:rPr>
          <w:lang w:val="en-US"/>
        </w:rPr>
        <w:t xml:space="preserve">generator not only reduces required storage by ~75% but also allows cross-sector </w:t>
      </w:r>
      <w:proofErr w:type="gramStart"/>
      <w:r w:rsidR="00C5687A">
        <w:rPr>
          <w:lang w:val="en-US"/>
        </w:rPr>
        <w:t>use</w:t>
      </w:r>
      <w:proofErr w:type="gramEnd"/>
      <w:r w:rsidR="00C5687A">
        <w:rPr>
          <w:lang w:val="en-US"/>
        </w:rPr>
        <w:t xml:space="preserve"> to operate at higher utilization factor (and thus cost-effectiveness). </w:t>
      </w:r>
    </w:p>
    <w:p w14:paraId="3E976603" w14:textId="78D1DC00" w:rsidR="006E3DDA" w:rsidRDefault="006E3DDA" w:rsidP="00C5687A">
      <w:pPr>
        <w:pStyle w:val="BodyText"/>
        <w:rPr>
          <w:lang w:val="en-US"/>
        </w:rPr>
      </w:pPr>
      <w:r>
        <w:rPr>
          <w:lang w:val="en-US"/>
        </w:rPr>
        <w:t xml:space="preserve">Conversely, the secondary axis of Fig. </w:t>
      </w:r>
      <w:r w:rsidR="00FD00A1">
        <w:rPr>
          <w:lang w:val="en-US"/>
        </w:rPr>
        <w:t>13</w:t>
      </w:r>
      <w:r w:rsidR="00FD00A1">
        <w:rPr>
          <w:lang w:val="en-US"/>
        </w:rPr>
        <w:t xml:space="preserve"> </w:t>
      </w:r>
      <w:r>
        <w:rPr>
          <w:lang w:val="en-US"/>
        </w:rPr>
        <w:t xml:space="preserve">shows the effectiveness of utilizing the surplus </w:t>
      </w:r>
      <w:r w:rsidR="00581B35">
        <w:rPr>
          <w:lang w:val="en-US"/>
        </w:rPr>
        <w:t>electricity and</w:t>
      </w:r>
      <w:r>
        <w:rPr>
          <w:lang w:val="en-US"/>
        </w:rPr>
        <w:t xml:space="preserve"> shows that the </w:t>
      </w:r>
      <w:r w:rsidR="00AF1139">
        <w:rPr>
          <w:lang w:val="en-US"/>
        </w:rPr>
        <w:t>FxL and FxL+15 PV generators also enable higher utilization of the available surplus electricity compared to Tr0 generators. By producing surplus electricity more evenly throughout the year, the inclined collectors furnish a more reliable supply to the secondary equipment with lower losses of the available surplus.</w:t>
      </w:r>
    </w:p>
    <w:p w14:paraId="25F1E3BD" w14:textId="03AAB828" w:rsidR="00DA76A1" w:rsidRDefault="00B72C89" w:rsidP="00B72C89">
      <w:pPr>
        <w:pStyle w:val="BodyText"/>
        <w:ind w:firstLine="0pt"/>
        <w:rPr>
          <w:lang w:val="en-US"/>
        </w:rPr>
      </w:pPr>
      <w:r>
        <w:rPr>
          <w:noProof/>
          <w:lang w:val="en-US"/>
        </w:rPr>
        <w:drawing>
          <wp:inline distT="0" distB="0" distL="0" distR="0" wp14:anchorId="5522745D" wp14:editId="3F06D1C8">
            <wp:extent cx="3255645" cy="2658110"/>
            <wp:effectExtent l="0" t="0" r="1905" b="8890"/>
            <wp:docPr id="58" name="Picture 5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55645" cy="2658110"/>
                    </a:xfrm>
                    <a:prstGeom prst="rect">
                      <a:avLst/>
                    </a:prstGeom>
                    <a:noFill/>
                  </pic:spPr>
                </pic:pic>
              </a:graphicData>
            </a:graphic>
          </wp:inline>
        </w:drawing>
      </w:r>
    </w:p>
    <w:p w14:paraId="58C64A29" w14:textId="5853F738" w:rsidR="009303D9" w:rsidRPr="00A356A6" w:rsidRDefault="00991789" w:rsidP="000652EF">
      <w:pPr>
        <w:pStyle w:val="Heading1"/>
      </w:pPr>
      <w:r>
        <w:t>Discussion</w:t>
      </w:r>
      <w:r w:rsidR="00806518" w:rsidRPr="00A356A6">
        <w:t xml:space="preserve"> </w:t>
      </w:r>
    </w:p>
    <w:p w14:paraId="4879C9E7" w14:textId="77777777" w:rsidR="00DC3175" w:rsidRDefault="00DC3175" w:rsidP="00DC3175">
      <w:pPr>
        <w:pStyle w:val="BodyText"/>
        <w:rPr>
          <w:lang w:val="en-US"/>
        </w:rPr>
      </w:pPr>
      <w:r>
        <w:rPr>
          <w:lang w:val="en-US"/>
        </w:rPr>
        <w:t>The results are consistent with the findings of most of the prior studies in highlighting a large imbalance between winter load and winter generation using Tr0 PV plants, necessitating large amounts of interseasonal storage (or alternatively, comparatively large amounts of fuel burn in winter). Winter-oriented collectors greatly reduce this need but do not eliminate it entirely.</w:t>
      </w:r>
    </w:p>
    <w:p w14:paraId="08218AA2" w14:textId="44558ED4" w:rsidR="007F6B15" w:rsidRDefault="00DE561E" w:rsidP="00DE561E">
      <w:pPr>
        <w:pStyle w:val="BodyText"/>
        <w:rPr>
          <w:lang w:val="en-US"/>
        </w:rPr>
      </w:pPr>
      <w:r>
        <w:rPr>
          <w:lang w:val="en-US"/>
        </w:rPr>
        <w:t xml:space="preserve">As stated </w:t>
      </w:r>
      <w:r w:rsidR="00221727">
        <w:rPr>
          <w:lang w:val="en-US"/>
        </w:rPr>
        <w:t>previously</w:t>
      </w:r>
      <w:r>
        <w:rPr>
          <w:lang w:val="en-US"/>
        </w:rPr>
        <w:t xml:space="preserve">, the analyses presented here consider only the shapes of the </w:t>
      </w:r>
      <w:r w:rsidR="007E5989">
        <w:rPr>
          <w:lang w:val="en-US"/>
        </w:rPr>
        <w:t xml:space="preserve">PV </w:t>
      </w:r>
      <w:r>
        <w:rPr>
          <w:lang w:val="en-US"/>
        </w:rPr>
        <w:t xml:space="preserve">generation and the California load in isolation. It is therefore not representative of the California grid: </w:t>
      </w:r>
      <w:r w:rsidR="00216748">
        <w:rPr>
          <w:lang w:val="en-US"/>
        </w:rPr>
        <w:t>it considers California as an island with no energy imports or exports</w:t>
      </w:r>
      <w:r>
        <w:rPr>
          <w:lang w:val="en-US"/>
        </w:rPr>
        <w:t xml:space="preserve"> and </w:t>
      </w:r>
      <w:r w:rsidR="00941CF2">
        <w:rPr>
          <w:lang w:val="en-US"/>
        </w:rPr>
        <w:t xml:space="preserve">makes no accounting of transmission </w:t>
      </w:r>
      <w:r>
        <w:rPr>
          <w:lang w:val="en-US"/>
        </w:rPr>
        <w:t xml:space="preserve">or congestion </w:t>
      </w:r>
      <w:r w:rsidR="00941CF2">
        <w:rPr>
          <w:lang w:val="en-US"/>
        </w:rPr>
        <w:t>constraints</w:t>
      </w:r>
      <w:r>
        <w:rPr>
          <w:lang w:val="en-US"/>
        </w:rPr>
        <w:t xml:space="preserve">. A realistic representation of the grid would obviously include </w:t>
      </w:r>
      <w:r w:rsidR="00941CF2">
        <w:rPr>
          <w:lang w:val="en-US"/>
        </w:rPr>
        <w:t xml:space="preserve">future growth of </w:t>
      </w:r>
      <w:r>
        <w:rPr>
          <w:lang w:val="en-US"/>
        </w:rPr>
        <w:t>on-shore and off-shore w</w:t>
      </w:r>
      <w:r w:rsidR="00941CF2">
        <w:rPr>
          <w:lang w:val="en-US"/>
        </w:rPr>
        <w:t>ind generation</w:t>
      </w:r>
      <w:r>
        <w:rPr>
          <w:lang w:val="en-US"/>
        </w:rPr>
        <w:t>,</w:t>
      </w:r>
      <w:r w:rsidR="00941CF2">
        <w:rPr>
          <w:lang w:val="en-US"/>
        </w:rPr>
        <w:t xml:space="preserve"> </w:t>
      </w:r>
      <w:r w:rsidR="00D84593">
        <w:rPr>
          <w:lang w:val="en-US"/>
        </w:rPr>
        <w:t xml:space="preserve">anticipated changes in the load from electric vehicles </w:t>
      </w:r>
      <w:r w:rsidR="00B72C89">
        <w:rPr>
          <w:noProof/>
          <w:lang w:val="en-US"/>
        </w:rPr>
        <w:lastRenderedPageBreak/>
        <w:drawing>
          <wp:inline distT="0" distB="0" distL="0" distR="0" wp14:anchorId="4AC25E06" wp14:editId="711817CA">
            <wp:extent cx="3298190" cy="3237230"/>
            <wp:effectExtent l="0" t="0" r="0" b="0"/>
            <wp:docPr id="59" name="Picture 5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98190" cy="3237230"/>
                    </a:xfrm>
                    <a:prstGeom prst="rect">
                      <a:avLst/>
                    </a:prstGeom>
                    <a:noFill/>
                  </pic:spPr>
                </pic:pic>
              </a:graphicData>
            </a:graphic>
          </wp:inline>
        </w:drawing>
      </w:r>
      <w:r w:rsidR="00D84593">
        <w:rPr>
          <w:lang w:val="en-US"/>
        </w:rPr>
        <w:t>or electrification of heating loads</w:t>
      </w:r>
      <w:r>
        <w:rPr>
          <w:lang w:val="en-US"/>
        </w:rPr>
        <w:t xml:space="preserve">, and the potential for energy imports and exports. A realistic grid model would also include a diversity of PV generator and storage technologies, each with their own unique performance and cost metrics. </w:t>
      </w:r>
      <w:r w:rsidR="00EE0BF3">
        <w:rPr>
          <w:lang w:val="en-US"/>
        </w:rPr>
        <w:t xml:space="preserve">On the other hand, the analysis has used </w:t>
      </w:r>
      <w:proofErr w:type="gramStart"/>
      <w:r w:rsidR="000B6C2C">
        <w:rPr>
          <w:lang w:val="en-US"/>
        </w:rPr>
        <w:t xml:space="preserve">fairly </w:t>
      </w:r>
      <w:r w:rsidR="00EE0BF3">
        <w:rPr>
          <w:lang w:val="en-US"/>
        </w:rPr>
        <w:t>well-</w:t>
      </w:r>
      <w:proofErr w:type="gramEnd"/>
      <w:r w:rsidR="00EE0BF3">
        <w:rPr>
          <w:lang w:val="en-US"/>
        </w:rPr>
        <w:t xml:space="preserve">understood PV costs </w:t>
      </w:r>
      <w:r w:rsidR="00A45585">
        <w:rPr>
          <w:lang w:val="en-US"/>
        </w:rPr>
        <w:t>based on historical data and shows that the system (PV</w:t>
      </w:r>
      <w:r w:rsidR="00BF5F4C">
        <w:rPr>
          <w:lang w:val="en-US"/>
        </w:rPr>
        <w:t xml:space="preserve"> </w:t>
      </w:r>
      <w:r w:rsidR="00A45585">
        <w:rPr>
          <w:lang w:val="en-US"/>
        </w:rPr>
        <w:t>+</w:t>
      </w:r>
      <w:r w:rsidR="00BF5F4C">
        <w:rPr>
          <w:lang w:val="en-US"/>
        </w:rPr>
        <w:t xml:space="preserve"> </w:t>
      </w:r>
      <w:r w:rsidR="00A45585">
        <w:rPr>
          <w:lang w:val="en-US"/>
        </w:rPr>
        <w:t xml:space="preserve">storage) cost </w:t>
      </w:r>
      <w:r w:rsidR="00B95ED6">
        <w:rPr>
          <w:lang w:val="en-US"/>
        </w:rPr>
        <w:t xml:space="preserve">may be </w:t>
      </w:r>
      <w:r w:rsidR="00A45585">
        <w:rPr>
          <w:lang w:val="en-US"/>
        </w:rPr>
        <w:t>minimized by using inclined axis PV collectors, even though they are clearly more expensive when considered independently of storage on an annual cost per kWh basis. This insight is perhaps useful.</w:t>
      </w:r>
      <w:r w:rsidR="00EE073D">
        <w:rPr>
          <w:lang w:val="en-US"/>
        </w:rPr>
        <w:t xml:space="preserve"> The e</w:t>
      </w:r>
      <w:r w:rsidR="007F6B15">
        <w:rPr>
          <w:lang w:val="en-US"/>
        </w:rPr>
        <w:t>xtent to which the renewable generators themselves</w:t>
      </w:r>
      <w:r w:rsidR="00F0650B">
        <w:rPr>
          <w:lang w:val="en-US"/>
        </w:rPr>
        <w:t xml:space="preserve"> can be tailored</w:t>
      </w:r>
      <w:r w:rsidR="00EE073D">
        <w:rPr>
          <w:lang w:val="en-US"/>
        </w:rPr>
        <w:t xml:space="preserve"> to reduce the storage has not been widely recognized. The </w:t>
      </w:r>
      <w:r w:rsidR="00203D7D">
        <w:rPr>
          <w:lang w:val="en-US"/>
        </w:rPr>
        <w:t xml:space="preserve">above </w:t>
      </w:r>
      <w:r w:rsidR="00EE073D">
        <w:rPr>
          <w:lang w:val="en-US"/>
        </w:rPr>
        <w:t>analys</w:t>
      </w:r>
      <w:r w:rsidR="00203D7D">
        <w:rPr>
          <w:lang w:val="en-US"/>
        </w:rPr>
        <w:t>e</w:t>
      </w:r>
      <w:r w:rsidR="00EE073D">
        <w:rPr>
          <w:lang w:val="en-US"/>
        </w:rPr>
        <w:t xml:space="preserve">s show a clear potential to accomplish this with </w:t>
      </w:r>
      <w:r w:rsidR="00F2125D">
        <w:rPr>
          <w:lang w:val="en-US"/>
        </w:rPr>
        <w:t>PV</w:t>
      </w:r>
      <w:r w:rsidR="00EE073D">
        <w:rPr>
          <w:lang w:val="en-US"/>
        </w:rPr>
        <w:t>, and analogous opportunities may exist with wind generators as well (choosing sites with high winter</w:t>
      </w:r>
      <w:r w:rsidR="004263DB">
        <w:rPr>
          <w:lang w:val="en-US"/>
        </w:rPr>
        <w:t xml:space="preserve"> winds that might be seen as uneconomical when considered in isolation</w:t>
      </w:r>
      <w:r w:rsidR="00BB3A80">
        <w:rPr>
          <w:lang w:val="en-US"/>
        </w:rPr>
        <w:t>[</w:t>
      </w:r>
      <w:r w:rsidR="00C50BF9">
        <w:rPr>
          <w:lang w:val="en-US"/>
        </w:rPr>
        <w:t>3</w:t>
      </w:r>
      <w:r w:rsidR="0049301F">
        <w:rPr>
          <w:lang w:val="en-US"/>
        </w:rPr>
        <w:t>5</w:t>
      </w:r>
      <w:r w:rsidR="00BB3A80">
        <w:rPr>
          <w:lang w:val="en-US"/>
        </w:rPr>
        <w:t>]</w:t>
      </w:r>
      <w:r w:rsidR="004263DB">
        <w:rPr>
          <w:lang w:val="en-US"/>
        </w:rPr>
        <w:t>).</w:t>
      </w:r>
      <w:r w:rsidR="00F2125D">
        <w:rPr>
          <w:lang w:val="en-US"/>
        </w:rPr>
        <w:t xml:space="preserve"> Although the </w:t>
      </w:r>
      <w:r w:rsidR="00581B35">
        <w:rPr>
          <w:lang w:val="en-US"/>
        </w:rPr>
        <w:t>FxL+15</w:t>
      </w:r>
      <w:r w:rsidR="00F2125D">
        <w:rPr>
          <w:lang w:val="en-US"/>
        </w:rPr>
        <w:t xml:space="preserve"> configuration is the most cost-effective when considered in isolation, it may not be when these other generation sources are included in the analysis.</w:t>
      </w:r>
    </w:p>
    <w:p w14:paraId="41DA2696" w14:textId="6463193B" w:rsidR="001B4846" w:rsidRDefault="001B4846" w:rsidP="00991789">
      <w:pPr>
        <w:pStyle w:val="BodyText"/>
        <w:rPr>
          <w:lang w:val="en-US"/>
        </w:rPr>
      </w:pPr>
      <w:r>
        <w:rPr>
          <w:lang w:val="en-US"/>
        </w:rPr>
        <w:t xml:space="preserve">As mentioned previously, land costs are treated as </w:t>
      </w:r>
      <w:proofErr w:type="spellStart"/>
      <w:r>
        <w:rPr>
          <w:lang w:val="en-US"/>
        </w:rPr>
        <w:t>Opex</w:t>
      </w:r>
      <w:proofErr w:type="spellEnd"/>
      <w:r w:rsidR="00203D7D">
        <w:rPr>
          <w:lang w:val="en-US"/>
        </w:rPr>
        <w:t xml:space="preserve">. </w:t>
      </w:r>
      <w:r w:rsidR="002A3CD0">
        <w:rPr>
          <w:lang w:val="en-US"/>
        </w:rPr>
        <w:t xml:space="preserve">Including </w:t>
      </w:r>
      <w:proofErr w:type="spellStart"/>
      <w:r w:rsidR="002A3CD0">
        <w:rPr>
          <w:lang w:val="en-US"/>
        </w:rPr>
        <w:t>Opex</w:t>
      </w:r>
      <w:proofErr w:type="spellEnd"/>
      <w:r w:rsidR="002A3CD0">
        <w:rPr>
          <w:lang w:val="en-US"/>
        </w:rPr>
        <w:t xml:space="preserve"> </w:t>
      </w:r>
      <w:r w:rsidR="006D5A05">
        <w:rPr>
          <w:lang w:val="en-US"/>
        </w:rPr>
        <w:t xml:space="preserve">in this analysis </w:t>
      </w:r>
      <w:r w:rsidR="002A3CD0">
        <w:rPr>
          <w:lang w:val="en-US"/>
        </w:rPr>
        <w:t>would necessitate a complete LCOE a</w:t>
      </w:r>
      <w:r w:rsidR="00DB6B79">
        <w:rPr>
          <w:lang w:val="en-US"/>
        </w:rPr>
        <w:t>ssessment</w:t>
      </w:r>
      <w:r w:rsidR="002A3CD0">
        <w:rPr>
          <w:lang w:val="en-US"/>
        </w:rPr>
        <w:t xml:space="preserve"> that is beyond the scope of this study. Land </w:t>
      </w:r>
      <w:r>
        <w:rPr>
          <w:lang w:val="en-US"/>
        </w:rPr>
        <w:t>use is strongly affected by inclined axis tracking,</w:t>
      </w:r>
      <w:r w:rsidR="00A512D7">
        <w:rPr>
          <w:lang w:val="en-US"/>
        </w:rPr>
        <w:t xml:space="preserve"> </w:t>
      </w:r>
      <w:r w:rsidR="002A3CD0">
        <w:rPr>
          <w:lang w:val="en-US"/>
        </w:rPr>
        <w:t xml:space="preserve">since trackers must be spaced in two dimensions to avoid shading; </w:t>
      </w:r>
      <w:r w:rsidR="00A512D7">
        <w:rPr>
          <w:lang w:val="en-US"/>
        </w:rPr>
        <w:t>the land use for fixed tilt systems is c</w:t>
      </w:r>
      <w:r w:rsidR="007E5989">
        <w:rPr>
          <w:lang w:val="en-US"/>
        </w:rPr>
        <w:t>loser</w:t>
      </w:r>
      <w:r w:rsidR="00A512D7">
        <w:rPr>
          <w:lang w:val="en-US"/>
        </w:rPr>
        <w:t xml:space="preserve"> to that of horizontal tracking systems</w:t>
      </w:r>
      <w:r w:rsidR="006D5A05">
        <w:rPr>
          <w:lang w:val="en-US"/>
        </w:rPr>
        <w:t>, requiring increased spacing with increased tilt in only one dimension</w:t>
      </w:r>
      <w:r w:rsidR="00A512D7">
        <w:rPr>
          <w:lang w:val="en-US"/>
        </w:rPr>
        <w:t xml:space="preserve">. </w:t>
      </w:r>
      <w:r w:rsidR="00A33C48">
        <w:rPr>
          <w:lang w:val="en-US"/>
        </w:rPr>
        <w:t>Thus,</w:t>
      </w:r>
      <w:r w:rsidR="00DB6B79">
        <w:rPr>
          <w:lang w:val="en-US"/>
        </w:rPr>
        <w:t xml:space="preserve"> the effect of including </w:t>
      </w:r>
      <w:proofErr w:type="spellStart"/>
      <w:r w:rsidR="00DB6B79">
        <w:rPr>
          <w:lang w:val="en-US"/>
        </w:rPr>
        <w:t>Opex</w:t>
      </w:r>
      <w:proofErr w:type="spellEnd"/>
      <w:r w:rsidR="00DB6B79">
        <w:rPr>
          <w:lang w:val="en-US"/>
        </w:rPr>
        <w:t xml:space="preserve"> would be to make inclined axis trackers less attractive than their fixed-tilt counterparts to a greater degree than shown here. </w:t>
      </w:r>
      <w:r w:rsidR="007E5989">
        <w:rPr>
          <w:lang w:val="en-US"/>
        </w:rPr>
        <w:t xml:space="preserve">In any case </w:t>
      </w:r>
      <w:proofErr w:type="spellStart"/>
      <w:r>
        <w:rPr>
          <w:lang w:val="en-US"/>
        </w:rPr>
        <w:t>Opex</w:t>
      </w:r>
      <w:proofErr w:type="spellEnd"/>
      <w:r>
        <w:rPr>
          <w:lang w:val="en-US"/>
        </w:rPr>
        <w:t xml:space="preserve"> </w:t>
      </w:r>
      <w:r w:rsidR="00A512D7">
        <w:rPr>
          <w:lang w:val="en-US"/>
        </w:rPr>
        <w:t xml:space="preserve">generally </w:t>
      </w:r>
      <w:r>
        <w:rPr>
          <w:lang w:val="en-US"/>
        </w:rPr>
        <w:t xml:space="preserve">has a rather small impact on the levelized cost of electricity (LCOE) of PV systems. </w:t>
      </w:r>
    </w:p>
    <w:p w14:paraId="4694DF06" w14:textId="256FA566" w:rsidR="001B4EE5" w:rsidRDefault="00221727" w:rsidP="00FA682D">
      <w:pPr>
        <w:pStyle w:val="BodyText"/>
        <w:rPr>
          <w:lang w:val="en-US"/>
        </w:rPr>
      </w:pPr>
      <w:r>
        <w:t xml:space="preserve">It’s worth noting also that the assumed DC:AC ratio of 1.3 means that some PV energy is being lost at the inverter, and effectively assumes all the storage is AC-driven. But modern battery charge controllers are often designed to use DC coupled power precisely to avoid this loss, and other storage </w:t>
      </w:r>
      <w:r>
        <w:t>technologies may be able to make use of DC energy as well, if collocated with the PV plant. Inclusion of this energy would result in reduced storage requirements for all configurations</w:t>
      </w:r>
      <w:r w:rsidR="00372125">
        <w:t xml:space="preserve"> and would likely further favor </w:t>
      </w:r>
      <w:r w:rsidR="001B4EE5">
        <w:rPr>
          <w:lang w:val="en-US"/>
        </w:rPr>
        <w:t>FxL+15</w:t>
      </w:r>
      <w:r w:rsidR="001B4EE5">
        <w:t xml:space="preserve"> </w:t>
      </w:r>
      <w:r w:rsidR="00372125">
        <w:t>systems since they have more incremental DC energy to capture in the winter than the other configurations.</w:t>
      </w:r>
      <w:r w:rsidR="00872CFD">
        <w:rPr>
          <w:lang w:val="en-US"/>
        </w:rPr>
        <w:t xml:space="preserve"> </w:t>
      </w:r>
    </w:p>
    <w:p w14:paraId="26579383" w14:textId="25D71031" w:rsidR="00FA1D44" w:rsidRDefault="007F035A" w:rsidP="00FA682D">
      <w:pPr>
        <w:pStyle w:val="BodyText"/>
        <w:rPr>
          <w:lang w:val="en-US"/>
        </w:rPr>
      </w:pPr>
      <w:r>
        <w:rPr>
          <w:lang w:val="en-US"/>
        </w:rPr>
        <w:t xml:space="preserve">The </w:t>
      </w:r>
      <w:r w:rsidR="003C621A">
        <w:rPr>
          <w:lang w:val="en-US"/>
        </w:rPr>
        <w:t>analys</w:t>
      </w:r>
      <w:r w:rsidR="008B61B7">
        <w:rPr>
          <w:lang w:val="en-US"/>
        </w:rPr>
        <w:t>e</w:t>
      </w:r>
      <w:r w:rsidR="003C621A">
        <w:rPr>
          <w:lang w:val="en-US"/>
        </w:rPr>
        <w:t xml:space="preserve">s </w:t>
      </w:r>
      <w:r w:rsidR="008B61B7">
        <w:rPr>
          <w:lang w:val="en-US"/>
        </w:rPr>
        <w:t>are</w:t>
      </w:r>
      <w:r w:rsidR="003C621A">
        <w:rPr>
          <w:lang w:val="en-US"/>
        </w:rPr>
        <w:t xml:space="preserve"> based solely on the loads as they existed in 2019. However, there’s reason to believe that winter loads will increase in the coming years due to electrification of heating loads (mostly in the winter) and electric vehicle charging (year-</w:t>
      </w:r>
      <w:r w:rsidR="000C5019" w:rsidRPr="000C5019">
        <w:rPr>
          <w:noProof/>
        </w:rPr>
        <w:t xml:space="preserve"> </w:t>
      </w:r>
      <w:r w:rsidR="003C621A">
        <w:rPr>
          <w:lang w:val="en-US"/>
        </w:rPr>
        <w:t>round)</w:t>
      </w:r>
      <w:r w:rsidR="00297318">
        <w:rPr>
          <w:lang w:val="en-US"/>
        </w:rPr>
        <w:t>. On the other hand, summer cooling loads will increase due to climate change. It’s difficult to predict how the load shape will evolve, and load shape changes may well change the optimal PV generation mix. Latitude tilt systems may best prepare for uncertain future load scenarios by just maximizing overall generation and balancing winter and summer performance.</w:t>
      </w:r>
    </w:p>
    <w:p w14:paraId="6873EF20" w14:textId="2B4D277C" w:rsidR="00872CFD" w:rsidRDefault="00E11DBF" w:rsidP="00FA682D">
      <w:pPr>
        <w:pStyle w:val="BodyText"/>
        <w:rPr>
          <w:lang w:val="en-US"/>
        </w:rPr>
      </w:pPr>
      <w:r>
        <w:rPr>
          <w:lang w:val="en-US"/>
        </w:rPr>
        <w:t xml:space="preserve">Given the </w:t>
      </w:r>
      <w:r w:rsidR="00BB36D7">
        <w:rPr>
          <w:lang w:val="en-US"/>
        </w:rPr>
        <w:t xml:space="preserve">common </w:t>
      </w:r>
      <w:r>
        <w:rPr>
          <w:lang w:val="en-US"/>
        </w:rPr>
        <w:t xml:space="preserve">practice in PPA contracts of setting a single price for all electricity delivered through the year, it’s worth considering how buyers of utility PV might adjust contracting terms to favor inclined collectors with better winter generation. </w:t>
      </w:r>
      <w:r w:rsidR="00BB36D7">
        <w:rPr>
          <w:lang w:val="en-US"/>
        </w:rPr>
        <w:t>Solar PPAs have many creative pricing terms, and seasonal adjustment</w:t>
      </w:r>
      <w:r w:rsidR="00872CFD">
        <w:rPr>
          <w:lang w:val="en-US"/>
        </w:rPr>
        <w:t>s</w:t>
      </w:r>
      <w:r w:rsidR="00BB36D7">
        <w:rPr>
          <w:lang w:val="en-US"/>
        </w:rPr>
        <w:t xml:space="preserve"> are </w:t>
      </w:r>
      <w:r w:rsidR="00DE5B76">
        <w:rPr>
          <w:lang w:val="en-US"/>
        </w:rPr>
        <w:t>uncommon but not unprecedented[</w:t>
      </w:r>
      <w:r w:rsidR="00C50BF9">
        <w:rPr>
          <w:lang w:val="en-US"/>
        </w:rPr>
        <w:t>3</w:t>
      </w:r>
      <w:r w:rsidR="0049301F">
        <w:rPr>
          <w:lang w:val="en-US"/>
        </w:rPr>
        <w:t>6</w:t>
      </w:r>
      <w:r w:rsidR="00DE5B76">
        <w:rPr>
          <w:lang w:val="en-US"/>
        </w:rPr>
        <w:t xml:space="preserve">]. </w:t>
      </w:r>
      <w:r>
        <w:rPr>
          <w:lang w:val="en-US"/>
        </w:rPr>
        <w:t xml:space="preserve">For example, the electricity price could have a premium for delivery in the winter months. </w:t>
      </w:r>
      <w:r w:rsidR="000F79F6">
        <w:rPr>
          <w:lang w:val="en-US"/>
        </w:rPr>
        <w:t>In that case, u</w:t>
      </w:r>
      <w:r>
        <w:rPr>
          <w:lang w:val="en-US"/>
        </w:rPr>
        <w:t xml:space="preserve">sing the generation and Capex figures in Fig. </w:t>
      </w:r>
      <w:r w:rsidR="00181CC9">
        <w:rPr>
          <w:lang w:val="en-US"/>
        </w:rPr>
        <w:t>9</w:t>
      </w:r>
      <w:r>
        <w:rPr>
          <w:lang w:val="en-US"/>
        </w:rPr>
        <w:t>, and premium pricing for electricity delivered over the 12 weeks centered on the Dec. 21</w:t>
      </w:r>
      <w:r w:rsidRPr="00E11DBF">
        <w:rPr>
          <w:vertAlign w:val="superscript"/>
          <w:lang w:val="en-US"/>
        </w:rPr>
        <w:t>st</w:t>
      </w:r>
      <w:r>
        <w:rPr>
          <w:lang w:val="en-US"/>
        </w:rPr>
        <w:t xml:space="preserve"> winter solstice, we find </w:t>
      </w:r>
      <w:r w:rsidR="000F79F6">
        <w:rPr>
          <w:lang w:val="en-US"/>
        </w:rPr>
        <w:t xml:space="preserve">the result shown in Table </w:t>
      </w:r>
      <w:r w:rsidR="003A6E1B">
        <w:rPr>
          <w:lang w:val="en-US"/>
        </w:rPr>
        <w:t>III</w:t>
      </w:r>
      <w:r w:rsidR="000F79F6">
        <w:rPr>
          <w:lang w:val="en-US"/>
        </w:rPr>
        <w:t xml:space="preserve">: </w:t>
      </w:r>
      <w:r>
        <w:rPr>
          <w:lang w:val="en-US"/>
        </w:rPr>
        <w:t xml:space="preserve">a </w:t>
      </w:r>
      <w:r w:rsidR="000F79F6">
        <w:rPr>
          <w:lang w:val="en-US"/>
        </w:rPr>
        <w:t xml:space="preserve">winter price </w:t>
      </w:r>
      <w:r>
        <w:rPr>
          <w:lang w:val="en-US"/>
        </w:rPr>
        <w:t xml:space="preserve">premium of 240% is needed for </w:t>
      </w:r>
      <w:r w:rsidR="001B4EE5">
        <w:rPr>
          <w:lang w:val="en-US"/>
        </w:rPr>
        <w:t xml:space="preserve">Tr0 </w:t>
      </w:r>
      <w:r>
        <w:rPr>
          <w:lang w:val="en-US"/>
        </w:rPr>
        <w:t xml:space="preserve">and </w:t>
      </w:r>
      <w:r w:rsidR="001B4EE5">
        <w:rPr>
          <w:lang w:val="en-US"/>
        </w:rPr>
        <w:t xml:space="preserve">FxL+15 </w:t>
      </w:r>
      <w:r>
        <w:rPr>
          <w:lang w:val="en-US"/>
        </w:rPr>
        <w:t>plants to have equal revenue per dollar of Capex</w:t>
      </w:r>
      <w:r w:rsidR="000F79F6">
        <w:rPr>
          <w:lang w:val="en-US"/>
        </w:rPr>
        <w:t xml:space="preserve">. Table </w:t>
      </w:r>
      <w:r w:rsidR="003A6E1B">
        <w:rPr>
          <w:lang w:val="en-US"/>
        </w:rPr>
        <w:t xml:space="preserve">III </w:t>
      </w:r>
      <w:r w:rsidR="000F79F6">
        <w:rPr>
          <w:lang w:val="en-US"/>
        </w:rPr>
        <w:t>uses a base price of 2.5¢/kWh as an example, but presumably this price would be the main PPA negotiating point. In this example, t</w:t>
      </w:r>
      <w:r w:rsidR="00CC3D8B">
        <w:rPr>
          <w:lang w:val="en-US"/>
        </w:rPr>
        <w:t>he annual revenue equates to a simple payback interval of 14.9 years.</w:t>
      </w:r>
    </w:p>
    <w:p w14:paraId="62C1F970" w14:textId="49F09457" w:rsidR="001A1ADA" w:rsidRPr="00B74E98" w:rsidRDefault="004E323C" w:rsidP="00B74E98">
      <w:pPr>
        <w:pStyle w:val="BodyText"/>
        <w:ind w:firstLine="0pt"/>
        <w:jc w:val="center"/>
        <w:rPr>
          <w:sz w:val="16"/>
          <w:szCs w:val="16"/>
          <w:lang w:val="en-US"/>
        </w:rPr>
      </w:pPr>
      <w:r w:rsidRPr="00B74E98">
        <w:rPr>
          <w:smallCaps/>
          <w:sz w:val="16"/>
          <w:szCs w:val="16"/>
          <w:lang w:val="en-US"/>
        </w:rPr>
        <w:t xml:space="preserve">Table </w:t>
      </w:r>
      <w:r w:rsidR="003A6E1B">
        <w:rPr>
          <w:smallCaps/>
          <w:sz w:val="16"/>
          <w:szCs w:val="16"/>
          <w:lang w:val="en-US"/>
        </w:rPr>
        <w:t>III</w:t>
      </w:r>
      <w:r w:rsidRPr="00B74E98">
        <w:rPr>
          <w:smallCaps/>
          <w:sz w:val="16"/>
          <w:szCs w:val="16"/>
          <w:lang w:val="en-US"/>
        </w:rPr>
        <w:t xml:space="preserve">: Winter generation incentive to </w:t>
      </w:r>
      <w:r w:rsidR="00B74E98" w:rsidRPr="00B74E98">
        <w:rPr>
          <w:smallCaps/>
          <w:sz w:val="16"/>
          <w:szCs w:val="16"/>
          <w:lang w:val="en-US"/>
        </w:rPr>
        <w:t xml:space="preserve">equalize revenue per unit Capex for </w:t>
      </w:r>
      <w:r w:rsidR="00581B35">
        <w:rPr>
          <w:smallCaps/>
          <w:sz w:val="16"/>
          <w:szCs w:val="16"/>
          <w:lang w:val="en-US"/>
        </w:rPr>
        <w:t>Tr0</w:t>
      </w:r>
      <w:r w:rsidR="00B74E98" w:rsidRPr="00B74E98">
        <w:rPr>
          <w:smallCaps/>
          <w:sz w:val="16"/>
          <w:szCs w:val="16"/>
          <w:lang w:val="en-US"/>
        </w:rPr>
        <w:t xml:space="preserve"> and </w:t>
      </w:r>
      <w:r w:rsidR="00581B35">
        <w:rPr>
          <w:smallCaps/>
          <w:sz w:val="16"/>
          <w:szCs w:val="16"/>
          <w:lang w:val="en-US"/>
        </w:rPr>
        <w:t>FxL+15</w:t>
      </w:r>
      <w:r w:rsidR="00B74E98" w:rsidRPr="00B74E98">
        <w:rPr>
          <w:smallCaps/>
          <w:sz w:val="16"/>
          <w:szCs w:val="16"/>
          <w:lang w:val="en-US"/>
        </w:rPr>
        <w:t xml:space="preserve"> PV plants.</w:t>
      </w:r>
      <w:r w:rsidR="00B74E98" w:rsidRPr="00B74E98">
        <w:rPr>
          <w:sz w:val="16"/>
          <w:szCs w:val="16"/>
          <w:lang w:val="en-US"/>
        </w:rPr>
        <w:t xml:space="preserve"> </w:t>
      </w:r>
    </w:p>
    <w:tbl>
      <w:tblPr>
        <w:tblStyle w:val="TableGrid"/>
        <w:tblW w:w="245.75pt" w:type="dxa"/>
        <w:jc w:val="center"/>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2901"/>
        <w:gridCol w:w="705"/>
        <w:gridCol w:w="766"/>
        <w:gridCol w:w="543"/>
      </w:tblGrid>
      <w:tr w:rsidR="001A1ADA" w:rsidRPr="001A1ADA" w14:paraId="01E1C829" w14:textId="77777777" w:rsidTr="00001329">
        <w:trPr>
          <w:jc w:val="center"/>
        </w:trPr>
        <w:tc>
          <w:tcPr>
            <w:tcW w:w="148.10pt" w:type="dxa"/>
            <w:tcBorders>
              <w:top w:val="single" w:sz="4" w:space="0" w:color="auto"/>
              <w:start w:val="single" w:sz="4" w:space="0" w:color="auto"/>
              <w:bottom w:val="single" w:sz="4" w:space="0" w:color="auto"/>
              <w:end w:val="single" w:sz="4" w:space="0" w:color="auto"/>
            </w:tcBorders>
            <w:shd w:val="clear" w:color="auto" w:fill="F2F2F2" w:themeFill="background1" w:themeFillShade="F2"/>
          </w:tcPr>
          <w:p w14:paraId="339592D9" w14:textId="77777777" w:rsidR="001A1ADA" w:rsidRPr="00001329" w:rsidRDefault="001A1ADA" w:rsidP="001A1ADA">
            <w:pPr>
              <w:pStyle w:val="BodyText"/>
              <w:tabs>
                <w:tab w:val="clear" w:pos="14.40pt"/>
              </w:tabs>
              <w:spacing w:after="0pt"/>
              <w:ind w:firstLine="0pt"/>
              <w:rPr>
                <w:rFonts w:asciiTheme="minorBidi" w:hAnsiTheme="minorBidi" w:cstheme="minorBidi"/>
                <w:b/>
                <w:bCs/>
                <w:sz w:val="16"/>
                <w:szCs w:val="16"/>
                <w:lang w:val="en-US"/>
              </w:rPr>
            </w:pPr>
            <w:r w:rsidRPr="00001329">
              <w:rPr>
                <w:rFonts w:asciiTheme="minorBidi" w:hAnsiTheme="minorBidi" w:cstheme="minorBidi"/>
                <w:b/>
                <w:bCs/>
                <w:sz w:val="16"/>
                <w:szCs w:val="16"/>
                <w:lang w:val="en-US"/>
              </w:rPr>
              <w:t>Parameter</w:t>
            </w:r>
          </w:p>
        </w:tc>
        <w:tc>
          <w:tcPr>
            <w:tcW w:w="35.25pt" w:type="dxa"/>
            <w:tcBorders>
              <w:top w:val="single" w:sz="4" w:space="0" w:color="auto"/>
              <w:start w:val="single" w:sz="4" w:space="0" w:color="auto"/>
              <w:bottom w:val="single" w:sz="4" w:space="0" w:color="auto"/>
              <w:end w:val="single" w:sz="4" w:space="0" w:color="auto"/>
            </w:tcBorders>
            <w:shd w:val="clear" w:color="auto" w:fill="F2F2F2" w:themeFill="background1" w:themeFillShade="F2"/>
          </w:tcPr>
          <w:p w14:paraId="0C2F6334" w14:textId="5A988144" w:rsidR="001A1ADA" w:rsidRPr="00001329" w:rsidRDefault="00FA7312" w:rsidP="00DF083B">
            <w:pPr>
              <w:pStyle w:val="BodyText"/>
              <w:tabs>
                <w:tab w:val="clear" w:pos="14.40pt"/>
              </w:tabs>
              <w:spacing w:after="0pt"/>
              <w:ind w:firstLine="0pt"/>
              <w:jc w:val="center"/>
              <w:rPr>
                <w:rFonts w:asciiTheme="minorBidi" w:hAnsiTheme="minorBidi" w:cstheme="minorBidi"/>
                <w:b/>
                <w:bCs/>
                <w:sz w:val="16"/>
                <w:szCs w:val="16"/>
                <w:lang w:val="en-US"/>
              </w:rPr>
            </w:pPr>
            <w:r w:rsidRPr="00001329">
              <w:rPr>
                <w:rFonts w:asciiTheme="minorBidi" w:hAnsiTheme="minorBidi" w:cstheme="minorBidi"/>
                <w:b/>
                <w:bCs/>
                <w:sz w:val="16"/>
                <w:szCs w:val="16"/>
                <w:lang w:val="en-US"/>
              </w:rPr>
              <w:t>Tr0</w:t>
            </w:r>
          </w:p>
        </w:tc>
        <w:tc>
          <w:tcPr>
            <w:tcW w:w="35.25pt" w:type="dxa"/>
            <w:tcBorders>
              <w:top w:val="single" w:sz="4" w:space="0" w:color="auto"/>
              <w:start w:val="single" w:sz="4" w:space="0" w:color="auto"/>
              <w:bottom w:val="single" w:sz="4" w:space="0" w:color="auto"/>
              <w:end w:val="single" w:sz="4" w:space="0" w:color="auto"/>
            </w:tcBorders>
            <w:shd w:val="clear" w:color="auto" w:fill="F2F2F2" w:themeFill="background1" w:themeFillShade="F2"/>
          </w:tcPr>
          <w:p w14:paraId="10FD899A" w14:textId="27A40058" w:rsidR="001A1ADA" w:rsidRPr="00001329" w:rsidRDefault="00FA7312" w:rsidP="00DF083B">
            <w:pPr>
              <w:pStyle w:val="BodyText"/>
              <w:tabs>
                <w:tab w:val="clear" w:pos="14.40pt"/>
              </w:tabs>
              <w:spacing w:after="0pt"/>
              <w:ind w:firstLine="0pt"/>
              <w:jc w:val="center"/>
              <w:rPr>
                <w:rFonts w:asciiTheme="minorBidi" w:hAnsiTheme="minorBidi" w:cstheme="minorBidi"/>
                <w:b/>
                <w:bCs/>
                <w:sz w:val="16"/>
                <w:szCs w:val="16"/>
                <w:lang w:val="en-US"/>
              </w:rPr>
            </w:pPr>
            <w:r w:rsidRPr="00001329">
              <w:rPr>
                <w:rFonts w:asciiTheme="minorBidi" w:hAnsiTheme="minorBidi" w:cstheme="minorBidi"/>
                <w:b/>
                <w:bCs/>
                <w:sz w:val="16"/>
                <w:szCs w:val="16"/>
                <w:lang w:val="en-US"/>
              </w:rPr>
              <w:t>FxL+15</w:t>
            </w:r>
          </w:p>
        </w:tc>
        <w:tc>
          <w:tcPr>
            <w:tcW w:w="27.15pt" w:type="dxa"/>
            <w:tcBorders>
              <w:top w:val="single" w:sz="4" w:space="0" w:color="auto"/>
              <w:start w:val="single" w:sz="4" w:space="0" w:color="auto"/>
              <w:bottom w:val="single" w:sz="4" w:space="0" w:color="auto"/>
              <w:end w:val="single" w:sz="4" w:space="0" w:color="auto"/>
            </w:tcBorders>
            <w:shd w:val="clear" w:color="auto" w:fill="F2F2F2" w:themeFill="background1" w:themeFillShade="F2"/>
          </w:tcPr>
          <w:p w14:paraId="699485E6" w14:textId="64D33253" w:rsidR="001A1ADA" w:rsidRPr="00001329" w:rsidRDefault="001A1ADA" w:rsidP="00DF083B">
            <w:pPr>
              <w:pStyle w:val="BodyText"/>
              <w:tabs>
                <w:tab w:val="clear" w:pos="14.40pt"/>
              </w:tabs>
              <w:spacing w:after="0pt"/>
              <w:ind w:firstLine="0pt"/>
              <w:jc w:val="center"/>
              <w:rPr>
                <w:rFonts w:asciiTheme="minorBidi" w:hAnsiTheme="minorBidi" w:cstheme="minorBidi"/>
                <w:b/>
                <w:bCs/>
                <w:sz w:val="16"/>
                <w:szCs w:val="16"/>
                <w:lang w:val="en-US"/>
              </w:rPr>
            </w:pPr>
            <w:r w:rsidRPr="00001329">
              <w:rPr>
                <w:rFonts w:asciiTheme="minorBidi" w:hAnsiTheme="minorBidi" w:cstheme="minorBidi"/>
                <w:b/>
                <w:bCs/>
                <w:sz w:val="16"/>
                <w:szCs w:val="16"/>
                <w:lang w:val="en-US"/>
              </w:rPr>
              <w:t>Δ</w:t>
            </w:r>
          </w:p>
        </w:tc>
      </w:tr>
      <w:tr w:rsidR="001A1ADA" w:rsidRPr="001A1ADA" w14:paraId="1BEC2DCA" w14:textId="77777777" w:rsidTr="00DF083B">
        <w:trPr>
          <w:jc w:val="center"/>
        </w:trPr>
        <w:tc>
          <w:tcPr>
            <w:tcW w:w="148.10pt" w:type="dxa"/>
            <w:tcBorders>
              <w:top w:val="single" w:sz="4" w:space="0" w:color="auto"/>
              <w:start w:val="single" w:sz="4" w:space="0" w:color="auto"/>
              <w:end w:val="single" w:sz="4" w:space="0" w:color="auto"/>
            </w:tcBorders>
          </w:tcPr>
          <w:p w14:paraId="4DC88D2F" w14:textId="1BB1DDE2" w:rsidR="001A1ADA" w:rsidRPr="00001329" w:rsidRDefault="001A1ADA" w:rsidP="001A1ADA">
            <w:pPr>
              <w:pStyle w:val="BodyText"/>
              <w:tabs>
                <w:tab w:val="clear" w:pos="14.40pt"/>
              </w:tabs>
              <w:spacing w:after="0pt"/>
              <w:ind w:firstLine="0pt"/>
              <w:rPr>
                <w:rFonts w:asciiTheme="minorBidi" w:hAnsiTheme="minorBidi" w:cstheme="minorBidi"/>
                <w:sz w:val="16"/>
                <w:szCs w:val="16"/>
                <w:lang w:val="en-US"/>
              </w:rPr>
            </w:pPr>
            <w:r w:rsidRPr="00001329">
              <w:rPr>
                <w:rFonts w:asciiTheme="minorBidi" w:hAnsiTheme="minorBidi" w:cstheme="minorBidi"/>
                <w:sz w:val="16"/>
                <w:szCs w:val="16"/>
                <w:lang w:val="en-US"/>
              </w:rPr>
              <w:t>Capex (</w:t>
            </w:r>
            <w:r w:rsidR="00DF083B" w:rsidRPr="00001329">
              <w:rPr>
                <w:rFonts w:asciiTheme="minorBidi" w:hAnsiTheme="minorBidi" w:cstheme="minorBidi"/>
                <w:sz w:val="16"/>
                <w:szCs w:val="16"/>
                <w:lang w:val="en-US"/>
              </w:rPr>
              <w:t xml:space="preserve">$ </w:t>
            </w:r>
            <w:r w:rsidRPr="00001329">
              <w:rPr>
                <w:rFonts w:asciiTheme="minorBidi" w:hAnsiTheme="minorBidi" w:cstheme="minorBidi"/>
                <w:sz w:val="16"/>
                <w:szCs w:val="16"/>
                <w:lang w:val="en-US"/>
              </w:rPr>
              <w:t>per W</w:t>
            </w:r>
            <w:r w:rsidRPr="00001329">
              <w:rPr>
                <w:rFonts w:asciiTheme="minorBidi" w:hAnsiTheme="minorBidi" w:cstheme="minorBidi"/>
                <w:sz w:val="16"/>
                <w:szCs w:val="16"/>
                <w:vertAlign w:val="subscript"/>
                <w:lang w:val="en-US"/>
              </w:rPr>
              <w:t>DC</w:t>
            </w:r>
            <w:r w:rsidRPr="00001329">
              <w:rPr>
                <w:rFonts w:asciiTheme="minorBidi" w:hAnsiTheme="minorBidi" w:cstheme="minorBidi"/>
                <w:sz w:val="16"/>
                <w:szCs w:val="16"/>
                <w:lang w:val="en-US"/>
              </w:rPr>
              <w:t>)</w:t>
            </w:r>
          </w:p>
        </w:tc>
        <w:tc>
          <w:tcPr>
            <w:tcW w:w="35.25pt" w:type="dxa"/>
            <w:tcBorders>
              <w:top w:val="single" w:sz="4" w:space="0" w:color="auto"/>
              <w:start w:val="single" w:sz="4" w:space="0" w:color="auto"/>
              <w:end w:val="single" w:sz="4" w:space="0" w:color="auto"/>
            </w:tcBorders>
          </w:tcPr>
          <w:p w14:paraId="21DD1813" w14:textId="77777777"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$1.01</w:t>
            </w:r>
          </w:p>
        </w:tc>
        <w:tc>
          <w:tcPr>
            <w:tcW w:w="35.25pt" w:type="dxa"/>
            <w:tcBorders>
              <w:top w:val="single" w:sz="4" w:space="0" w:color="auto"/>
              <w:start w:val="single" w:sz="4" w:space="0" w:color="auto"/>
              <w:end w:val="single" w:sz="4" w:space="0" w:color="auto"/>
            </w:tcBorders>
          </w:tcPr>
          <w:p w14:paraId="39F14CC5" w14:textId="77777777"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$0.96</w:t>
            </w:r>
          </w:p>
        </w:tc>
        <w:tc>
          <w:tcPr>
            <w:tcW w:w="27.15pt" w:type="dxa"/>
            <w:tcBorders>
              <w:top w:val="single" w:sz="4" w:space="0" w:color="auto"/>
              <w:start w:val="single" w:sz="4" w:space="0" w:color="auto"/>
              <w:end w:val="single" w:sz="4" w:space="0" w:color="auto"/>
            </w:tcBorders>
          </w:tcPr>
          <w:p w14:paraId="791B006C" w14:textId="77777777"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p>
        </w:tc>
      </w:tr>
      <w:tr w:rsidR="001A1ADA" w:rsidRPr="001A1ADA" w14:paraId="25D1371F" w14:textId="77777777" w:rsidTr="00DF083B">
        <w:trPr>
          <w:jc w:val="center"/>
        </w:trPr>
        <w:tc>
          <w:tcPr>
            <w:tcW w:w="148.10pt" w:type="dxa"/>
            <w:tcBorders>
              <w:start w:val="single" w:sz="4" w:space="0" w:color="auto"/>
              <w:end w:val="single" w:sz="4" w:space="0" w:color="auto"/>
            </w:tcBorders>
          </w:tcPr>
          <w:p w14:paraId="4EA57047" w14:textId="2099E1A5" w:rsidR="001A1ADA" w:rsidRPr="00001329" w:rsidRDefault="001A1ADA" w:rsidP="001A1ADA">
            <w:pPr>
              <w:pStyle w:val="BodyText"/>
              <w:tabs>
                <w:tab w:val="clear" w:pos="14.40pt"/>
              </w:tabs>
              <w:spacing w:after="0pt"/>
              <w:ind w:firstLine="0pt"/>
              <w:rPr>
                <w:rFonts w:asciiTheme="minorBidi" w:hAnsiTheme="minorBidi" w:cstheme="minorBidi"/>
                <w:sz w:val="16"/>
                <w:szCs w:val="16"/>
                <w:lang w:val="en-US"/>
              </w:rPr>
            </w:pPr>
            <w:r w:rsidRPr="00001329">
              <w:rPr>
                <w:rFonts w:asciiTheme="minorBidi" w:hAnsiTheme="minorBidi" w:cstheme="minorBidi"/>
                <w:sz w:val="16"/>
                <w:szCs w:val="16"/>
                <w:lang w:val="en-US"/>
              </w:rPr>
              <w:t>Annual generation (</w:t>
            </w:r>
            <w:r w:rsidR="00DF083B" w:rsidRPr="00001329">
              <w:rPr>
                <w:rFonts w:asciiTheme="minorBidi" w:hAnsiTheme="minorBidi" w:cstheme="minorBidi"/>
                <w:sz w:val="16"/>
                <w:szCs w:val="16"/>
                <w:lang w:val="en-US"/>
              </w:rPr>
              <w:t xml:space="preserve">Wh </w:t>
            </w:r>
            <w:r w:rsidRPr="00001329">
              <w:rPr>
                <w:rFonts w:asciiTheme="minorBidi" w:hAnsiTheme="minorBidi" w:cstheme="minorBidi"/>
                <w:sz w:val="16"/>
                <w:szCs w:val="16"/>
                <w:lang w:val="en-US"/>
              </w:rPr>
              <w:t>per W</w:t>
            </w:r>
            <w:r w:rsidRPr="00001329">
              <w:rPr>
                <w:rFonts w:asciiTheme="minorBidi" w:hAnsiTheme="minorBidi" w:cstheme="minorBidi"/>
                <w:sz w:val="16"/>
                <w:szCs w:val="16"/>
                <w:vertAlign w:val="subscript"/>
                <w:lang w:val="en-US"/>
              </w:rPr>
              <w:t>DC</w:t>
            </w:r>
            <w:r w:rsidRPr="00001329">
              <w:rPr>
                <w:rFonts w:asciiTheme="minorBidi" w:hAnsiTheme="minorBidi" w:cstheme="minorBidi"/>
                <w:sz w:val="16"/>
                <w:szCs w:val="16"/>
                <w:lang w:val="en-US"/>
              </w:rPr>
              <w:t>)</w:t>
            </w:r>
          </w:p>
        </w:tc>
        <w:tc>
          <w:tcPr>
            <w:tcW w:w="35.25pt" w:type="dxa"/>
            <w:tcBorders>
              <w:start w:val="single" w:sz="4" w:space="0" w:color="auto"/>
              <w:end w:val="single" w:sz="4" w:space="0" w:color="auto"/>
            </w:tcBorders>
          </w:tcPr>
          <w:p w14:paraId="3BD14217" w14:textId="77777777"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2090</w:t>
            </w:r>
          </w:p>
        </w:tc>
        <w:tc>
          <w:tcPr>
            <w:tcW w:w="35.25pt" w:type="dxa"/>
            <w:tcBorders>
              <w:start w:val="single" w:sz="4" w:space="0" w:color="auto"/>
              <w:end w:val="single" w:sz="4" w:space="0" w:color="auto"/>
            </w:tcBorders>
          </w:tcPr>
          <w:p w14:paraId="65E12E37" w14:textId="77777777"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1814</w:t>
            </w:r>
          </w:p>
        </w:tc>
        <w:tc>
          <w:tcPr>
            <w:tcW w:w="27.15pt" w:type="dxa"/>
            <w:tcBorders>
              <w:start w:val="single" w:sz="4" w:space="0" w:color="auto"/>
              <w:end w:val="single" w:sz="4" w:space="0" w:color="auto"/>
            </w:tcBorders>
          </w:tcPr>
          <w:p w14:paraId="0AB6E739" w14:textId="77777777"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15%</w:t>
            </w:r>
          </w:p>
        </w:tc>
      </w:tr>
      <w:tr w:rsidR="001A1ADA" w:rsidRPr="001A1ADA" w14:paraId="017C361E" w14:textId="77777777" w:rsidTr="00DF083B">
        <w:trPr>
          <w:jc w:val="center"/>
        </w:trPr>
        <w:tc>
          <w:tcPr>
            <w:tcW w:w="148.10pt" w:type="dxa"/>
            <w:tcBorders>
              <w:start w:val="single" w:sz="4" w:space="0" w:color="auto"/>
              <w:end w:val="single" w:sz="4" w:space="0" w:color="auto"/>
            </w:tcBorders>
          </w:tcPr>
          <w:p w14:paraId="663C69B0" w14:textId="2431C618" w:rsidR="001A1ADA" w:rsidRPr="00001329" w:rsidRDefault="001A1ADA" w:rsidP="001A1ADA">
            <w:pPr>
              <w:pStyle w:val="BodyText"/>
              <w:tabs>
                <w:tab w:val="clear" w:pos="14.40pt"/>
              </w:tabs>
              <w:spacing w:after="0pt"/>
              <w:ind w:firstLine="0pt"/>
              <w:rPr>
                <w:rFonts w:asciiTheme="minorBidi" w:hAnsiTheme="minorBidi" w:cstheme="minorBidi"/>
                <w:sz w:val="16"/>
                <w:szCs w:val="16"/>
                <w:lang w:val="en-US"/>
              </w:rPr>
            </w:pPr>
            <w:r w:rsidRPr="00001329">
              <w:rPr>
                <w:rFonts w:asciiTheme="minorBidi" w:hAnsiTheme="minorBidi" w:cstheme="minorBidi"/>
                <w:sz w:val="16"/>
                <w:szCs w:val="16"/>
                <w:lang w:val="en-US"/>
              </w:rPr>
              <w:t>Winter generation (</w:t>
            </w:r>
            <w:r w:rsidR="00DF083B" w:rsidRPr="00001329">
              <w:rPr>
                <w:rFonts w:asciiTheme="minorBidi" w:hAnsiTheme="minorBidi" w:cstheme="minorBidi"/>
                <w:sz w:val="16"/>
                <w:szCs w:val="16"/>
                <w:lang w:val="en-US"/>
              </w:rPr>
              <w:t xml:space="preserve">Wh </w:t>
            </w:r>
            <w:r w:rsidRPr="00001329">
              <w:rPr>
                <w:rFonts w:asciiTheme="minorBidi" w:hAnsiTheme="minorBidi" w:cstheme="minorBidi"/>
                <w:sz w:val="16"/>
                <w:szCs w:val="16"/>
                <w:lang w:val="en-US"/>
              </w:rPr>
              <w:t>per W</w:t>
            </w:r>
            <w:r w:rsidRPr="00001329">
              <w:rPr>
                <w:rFonts w:asciiTheme="minorBidi" w:hAnsiTheme="minorBidi" w:cstheme="minorBidi"/>
                <w:sz w:val="16"/>
                <w:szCs w:val="16"/>
                <w:vertAlign w:val="subscript"/>
                <w:lang w:val="en-US"/>
              </w:rPr>
              <w:t>DC</w:t>
            </w:r>
            <w:r w:rsidRPr="00001329">
              <w:rPr>
                <w:rFonts w:asciiTheme="minorBidi" w:hAnsiTheme="minorBidi" w:cstheme="minorBidi"/>
                <w:sz w:val="16"/>
                <w:szCs w:val="16"/>
                <w:lang w:val="en-US"/>
              </w:rPr>
              <w:t>)</w:t>
            </w:r>
          </w:p>
        </w:tc>
        <w:tc>
          <w:tcPr>
            <w:tcW w:w="35.25pt" w:type="dxa"/>
            <w:tcBorders>
              <w:start w:val="single" w:sz="4" w:space="0" w:color="auto"/>
              <w:end w:val="single" w:sz="4" w:space="0" w:color="auto"/>
            </w:tcBorders>
          </w:tcPr>
          <w:p w14:paraId="36AF8571" w14:textId="77777777"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257</w:t>
            </w:r>
          </w:p>
        </w:tc>
        <w:tc>
          <w:tcPr>
            <w:tcW w:w="35.25pt" w:type="dxa"/>
            <w:tcBorders>
              <w:start w:val="single" w:sz="4" w:space="0" w:color="auto"/>
              <w:end w:val="single" w:sz="4" w:space="0" w:color="auto"/>
            </w:tcBorders>
          </w:tcPr>
          <w:p w14:paraId="069F073D" w14:textId="77777777"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316</w:t>
            </w:r>
          </w:p>
        </w:tc>
        <w:tc>
          <w:tcPr>
            <w:tcW w:w="27.15pt" w:type="dxa"/>
            <w:tcBorders>
              <w:start w:val="single" w:sz="4" w:space="0" w:color="auto"/>
              <w:end w:val="single" w:sz="4" w:space="0" w:color="auto"/>
            </w:tcBorders>
          </w:tcPr>
          <w:p w14:paraId="1DE551B4" w14:textId="77777777"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23%</w:t>
            </w:r>
          </w:p>
        </w:tc>
      </w:tr>
      <w:tr w:rsidR="001A1ADA" w:rsidRPr="001A1ADA" w14:paraId="10F3F570" w14:textId="77777777" w:rsidTr="00DF083B">
        <w:trPr>
          <w:jc w:val="center"/>
        </w:trPr>
        <w:tc>
          <w:tcPr>
            <w:tcW w:w="148.10pt" w:type="dxa"/>
            <w:tcBorders>
              <w:start w:val="single" w:sz="4" w:space="0" w:color="auto"/>
              <w:end w:val="single" w:sz="4" w:space="0" w:color="auto"/>
            </w:tcBorders>
          </w:tcPr>
          <w:p w14:paraId="1534DA91" w14:textId="444EB203" w:rsidR="001A1ADA" w:rsidRPr="00001329" w:rsidRDefault="001A1ADA" w:rsidP="001A1ADA">
            <w:pPr>
              <w:pStyle w:val="BodyText"/>
              <w:tabs>
                <w:tab w:val="clear" w:pos="14.40pt"/>
              </w:tabs>
              <w:spacing w:after="0pt"/>
              <w:ind w:firstLine="0pt"/>
              <w:rPr>
                <w:rFonts w:asciiTheme="minorBidi" w:hAnsiTheme="minorBidi" w:cstheme="minorBidi"/>
                <w:sz w:val="16"/>
                <w:szCs w:val="16"/>
                <w:lang w:val="en-US"/>
              </w:rPr>
            </w:pPr>
            <w:r w:rsidRPr="00001329">
              <w:rPr>
                <w:rFonts w:asciiTheme="minorBidi" w:hAnsiTheme="minorBidi" w:cstheme="minorBidi"/>
                <w:sz w:val="16"/>
                <w:szCs w:val="16"/>
                <w:lang w:val="en-US"/>
              </w:rPr>
              <w:t>Base price per kWh</w:t>
            </w:r>
            <w:r w:rsidR="00372125" w:rsidRPr="00001329">
              <w:rPr>
                <w:rFonts w:asciiTheme="minorBidi" w:hAnsiTheme="minorBidi" w:cstheme="minorBidi"/>
                <w:sz w:val="16"/>
                <w:szCs w:val="16"/>
                <w:lang w:val="en-US"/>
              </w:rPr>
              <w:t xml:space="preserve"> (for example)</w:t>
            </w:r>
          </w:p>
        </w:tc>
        <w:tc>
          <w:tcPr>
            <w:tcW w:w="97.65pt" w:type="dxa"/>
            <w:gridSpan w:val="3"/>
            <w:tcBorders>
              <w:start w:val="single" w:sz="4" w:space="0" w:color="auto"/>
              <w:end w:val="single" w:sz="4" w:space="0" w:color="auto"/>
            </w:tcBorders>
          </w:tcPr>
          <w:p w14:paraId="04642534" w14:textId="1A10058B"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$0.0</w:t>
            </w:r>
            <w:r w:rsidR="00787BE9" w:rsidRPr="00001329">
              <w:rPr>
                <w:rFonts w:asciiTheme="minorBidi" w:hAnsiTheme="minorBidi" w:cstheme="minorBidi"/>
                <w:sz w:val="16"/>
                <w:szCs w:val="16"/>
                <w:lang w:val="en-US"/>
              </w:rPr>
              <w:t>2</w:t>
            </w:r>
            <w:r w:rsidR="00372125" w:rsidRPr="00001329">
              <w:rPr>
                <w:rFonts w:asciiTheme="minorBidi" w:hAnsiTheme="minorBidi" w:cstheme="minorBidi"/>
                <w:sz w:val="16"/>
                <w:szCs w:val="16"/>
                <w:lang w:val="en-US"/>
              </w:rPr>
              <w:t>5</w:t>
            </w:r>
          </w:p>
        </w:tc>
      </w:tr>
      <w:tr w:rsidR="001A1ADA" w:rsidRPr="001A1ADA" w14:paraId="07C59662" w14:textId="77777777" w:rsidTr="00DF083B">
        <w:trPr>
          <w:jc w:val="center"/>
        </w:trPr>
        <w:tc>
          <w:tcPr>
            <w:tcW w:w="148.10pt" w:type="dxa"/>
            <w:tcBorders>
              <w:start w:val="single" w:sz="4" w:space="0" w:color="auto"/>
              <w:end w:val="single" w:sz="4" w:space="0" w:color="auto"/>
            </w:tcBorders>
          </w:tcPr>
          <w:p w14:paraId="7A1B9057" w14:textId="77777777" w:rsidR="001A1ADA" w:rsidRPr="00001329" w:rsidRDefault="001A1ADA" w:rsidP="001A1ADA">
            <w:pPr>
              <w:pStyle w:val="BodyText"/>
              <w:tabs>
                <w:tab w:val="clear" w:pos="14.40pt"/>
              </w:tabs>
              <w:spacing w:after="0pt"/>
              <w:ind w:firstLine="0pt"/>
              <w:rPr>
                <w:rFonts w:asciiTheme="minorBidi" w:hAnsiTheme="minorBidi" w:cstheme="minorBidi"/>
                <w:sz w:val="16"/>
                <w:szCs w:val="16"/>
                <w:lang w:val="en-US"/>
              </w:rPr>
            </w:pPr>
            <w:r w:rsidRPr="00001329">
              <w:rPr>
                <w:rFonts w:asciiTheme="minorBidi" w:hAnsiTheme="minorBidi" w:cstheme="minorBidi"/>
                <w:sz w:val="16"/>
                <w:szCs w:val="16"/>
                <w:lang w:val="en-US"/>
              </w:rPr>
              <w:t>Premium for winter delivery</w:t>
            </w:r>
          </w:p>
        </w:tc>
        <w:tc>
          <w:tcPr>
            <w:tcW w:w="97.65pt" w:type="dxa"/>
            <w:gridSpan w:val="3"/>
            <w:tcBorders>
              <w:start w:val="single" w:sz="4" w:space="0" w:color="auto"/>
              <w:end w:val="single" w:sz="4" w:space="0" w:color="auto"/>
            </w:tcBorders>
          </w:tcPr>
          <w:p w14:paraId="20737113" w14:textId="5CB35DB0"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240%</w:t>
            </w:r>
          </w:p>
        </w:tc>
      </w:tr>
      <w:tr w:rsidR="001A1ADA" w:rsidRPr="001A1ADA" w14:paraId="3CE1BB8C" w14:textId="77777777" w:rsidTr="00DF083B">
        <w:trPr>
          <w:jc w:val="center"/>
        </w:trPr>
        <w:tc>
          <w:tcPr>
            <w:tcW w:w="148.10pt" w:type="dxa"/>
            <w:tcBorders>
              <w:start w:val="single" w:sz="4" w:space="0" w:color="auto"/>
              <w:bottom w:val="single" w:sz="4" w:space="0" w:color="auto"/>
              <w:end w:val="single" w:sz="4" w:space="0" w:color="auto"/>
            </w:tcBorders>
          </w:tcPr>
          <w:p w14:paraId="4226F515" w14:textId="47EF9035" w:rsidR="001A1ADA" w:rsidRPr="00001329" w:rsidRDefault="00787BE9" w:rsidP="001A1ADA">
            <w:pPr>
              <w:pStyle w:val="BodyText"/>
              <w:tabs>
                <w:tab w:val="clear" w:pos="14.40pt"/>
              </w:tabs>
              <w:spacing w:after="0pt"/>
              <w:ind w:firstLine="0pt"/>
              <w:rPr>
                <w:rFonts w:asciiTheme="minorBidi" w:hAnsiTheme="minorBidi" w:cstheme="minorBidi"/>
                <w:sz w:val="16"/>
                <w:szCs w:val="16"/>
                <w:lang w:val="en-US"/>
              </w:rPr>
            </w:pPr>
            <w:r w:rsidRPr="00001329">
              <w:rPr>
                <w:rFonts w:asciiTheme="minorBidi" w:hAnsiTheme="minorBidi" w:cstheme="minorBidi"/>
                <w:sz w:val="16"/>
                <w:szCs w:val="16"/>
                <w:lang w:val="en-US"/>
              </w:rPr>
              <w:t>Annual r</w:t>
            </w:r>
            <w:r w:rsidR="001A1ADA" w:rsidRPr="00001329">
              <w:rPr>
                <w:rFonts w:asciiTheme="minorBidi" w:hAnsiTheme="minorBidi" w:cstheme="minorBidi"/>
                <w:sz w:val="16"/>
                <w:szCs w:val="16"/>
                <w:lang w:val="en-US"/>
              </w:rPr>
              <w:t>evenue/$ Capex</w:t>
            </w:r>
          </w:p>
        </w:tc>
        <w:tc>
          <w:tcPr>
            <w:tcW w:w="35.25pt" w:type="dxa"/>
            <w:tcBorders>
              <w:start w:val="single" w:sz="4" w:space="0" w:color="auto"/>
              <w:bottom w:val="single" w:sz="4" w:space="0" w:color="auto"/>
              <w:end w:val="single" w:sz="4" w:space="0" w:color="auto"/>
            </w:tcBorders>
          </w:tcPr>
          <w:p w14:paraId="6B950B68" w14:textId="0D31343A"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w:t>
            </w:r>
            <w:r w:rsidR="00DF083B" w:rsidRPr="00001329">
              <w:rPr>
                <w:rFonts w:asciiTheme="minorBidi" w:hAnsiTheme="minorBidi" w:cstheme="minorBidi"/>
                <w:sz w:val="16"/>
                <w:szCs w:val="16"/>
                <w:lang w:val="en-US"/>
              </w:rPr>
              <w:t>0.0</w:t>
            </w:r>
            <w:r w:rsidR="00372125" w:rsidRPr="00001329">
              <w:rPr>
                <w:rFonts w:asciiTheme="minorBidi" w:hAnsiTheme="minorBidi" w:cstheme="minorBidi"/>
                <w:sz w:val="16"/>
                <w:szCs w:val="16"/>
                <w:lang w:val="en-US"/>
              </w:rPr>
              <w:t>67</w:t>
            </w:r>
          </w:p>
        </w:tc>
        <w:tc>
          <w:tcPr>
            <w:tcW w:w="35.25pt" w:type="dxa"/>
            <w:tcBorders>
              <w:start w:val="single" w:sz="4" w:space="0" w:color="auto"/>
              <w:bottom w:val="single" w:sz="4" w:space="0" w:color="auto"/>
              <w:end w:val="single" w:sz="4" w:space="0" w:color="auto"/>
            </w:tcBorders>
          </w:tcPr>
          <w:p w14:paraId="4FE37A62" w14:textId="33AD3B0F"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w:t>
            </w:r>
            <w:r w:rsidR="00DF083B" w:rsidRPr="00001329">
              <w:rPr>
                <w:rFonts w:asciiTheme="minorBidi" w:hAnsiTheme="minorBidi" w:cstheme="minorBidi"/>
                <w:sz w:val="16"/>
                <w:szCs w:val="16"/>
                <w:lang w:val="en-US"/>
              </w:rPr>
              <w:t>0.0</w:t>
            </w:r>
            <w:r w:rsidR="00372125" w:rsidRPr="00001329">
              <w:rPr>
                <w:rFonts w:asciiTheme="minorBidi" w:hAnsiTheme="minorBidi" w:cstheme="minorBidi"/>
                <w:sz w:val="16"/>
                <w:szCs w:val="16"/>
                <w:lang w:val="en-US"/>
              </w:rPr>
              <w:t>67</w:t>
            </w:r>
          </w:p>
        </w:tc>
        <w:tc>
          <w:tcPr>
            <w:tcW w:w="27.15pt" w:type="dxa"/>
            <w:tcBorders>
              <w:start w:val="single" w:sz="4" w:space="0" w:color="auto"/>
              <w:bottom w:val="single" w:sz="4" w:space="0" w:color="auto"/>
              <w:end w:val="single" w:sz="4" w:space="0" w:color="auto"/>
            </w:tcBorders>
          </w:tcPr>
          <w:p w14:paraId="64DAE721" w14:textId="77777777" w:rsidR="001A1ADA" w:rsidRPr="00001329" w:rsidRDefault="001A1ADA" w:rsidP="00DF083B">
            <w:pPr>
              <w:pStyle w:val="BodyText"/>
              <w:tabs>
                <w:tab w:val="clear" w:pos="14.40pt"/>
              </w:tabs>
              <w:spacing w:after="0pt"/>
              <w:ind w:firstLine="0pt"/>
              <w:jc w:val="center"/>
              <w:rPr>
                <w:rFonts w:asciiTheme="minorBidi" w:hAnsiTheme="minorBidi" w:cstheme="minorBidi"/>
                <w:sz w:val="16"/>
                <w:szCs w:val="16"/>
                <w:lang w:val="en-US"/>
              </w:rPr>
            </w:pPr>
            <w:r w:rsidRPr="00001329">
              <w:rPr>
                <w:rFonts w:asciiTheme="minorBidi" w:hAnsiTheme="minorBidi" w:cstheme="minorBidi"/>
                <w:sz w:val="16"/>
                <w:szCs w:val="16"/>
                <w:lang w:val="en-US"/>
              </w:rPr>
              <w:t>0</w:t>
            </w:r>
          </w:p>
        </w:tc>
      </w:tr>
    </w:tbl>
    <w:p w14:paraId="7EF40E72" w14:textId="77777777" w:rsidR="005B45BA" w:rsidRDefault="005B45BA" w:rsidP="00FA682D">
      <w:pPr>
        <w:pStyle w:val="BodyText"/>
        <w:rPr>
          <w:lang w:val="en-US"/>
        </w:rPr>
      </w:pPr>
    </w:p>
    <w:p w14:paraId="4F77ABA0" w14:textId="77777777" w:rsidR="00363C27" w:rsidRPr="00A356A6" w:rsidRDefault="00363C27" w:rsidP="00363C27">
      <w:pPr>
        <w:pStyle w:val="Heading1"/>
      </w:pPr>
      <w:r>
        <w:t>Conclusion</w:t>
      </w:r>
      <w:r w:rsidRPr="00A356A6">
        <w:t xml:space="preserve"> </w:t>
      </w:r>
    </w:p>
    <w:p w14:paraId="2B452D92" w14:textId="77777777" w:rsidR="004872D4" w:rsidRDefault="004872D4" w:rsidP="004872D4">
      <w:pPr>
        <w:pStyle w:val="BodyText"/>
        <w:rPr>
          <w:lang w:val="en-US"/>
        </w:rPr>
      </w:pPr>
      <w:r>
        <w:rPr>
          <w:lang w:val="en-US"/>
        </w:rPr>
        <w:t>The results show that, at least for the case of the California load, and considering solar and storage in isolation, selecting PV plants with winter-optimized tilt versus horizontal tracking plants results in:</w:t>
      </w:r>
    </w:p>
    <w:p w14:paraId="17F1FAB4" w14:textId="77777777" w:rsidR="004872D4" w:rsidRDefault="004872D4" w:rsidP="004872D4">
      <w:pPr>
        <w:pStyle w:val="BodyText"/>
        <w:numPr>
          <w:ilvl w:val="0"/>
          <w:numId w:val="35"/>
        </w:numPr>
        <w:rPr>
          <w:lang w:val="en-US"/>
        </w:rPr>
      </w:pPr>
      <w:r>
        <w:rPr>
          <w:lang w:val="en-US"/>
        </w:rPr>
        <w:t>Lower total PV Capex required for a given amount of storage capacity;</w:t>
      </w:r>
    </w:p>
    <w:p w14:paraId="392B9BDD" w14:textId="77777777" w:rsidR="004872D4" w:rsidRDefault="004872D4" w:rsidP="004872D4">
      <w:pPr>
        <w:pStyle w:val="BodyText"/>
        <w:numPr>
          <w:ilvl w:val="0"/>
          <w:numId w:val="35"/>
        </w:numPr>
        <w:rPr>
          <w:lang w:val="en-US"/>
        </w:rPr>
      </w:pPr>
      <w:r>
        <w:rPr>
          <w:lang w:val="en-US"/>
        </w:rPr>
        <w:t>Lower storage capacity required for a given amount of PV Capex;</w:t>
      </w:r>
    </w:p>
    <w:p w14:paraId="59074A45" w14:textId="77777777" w:rsidR="004872D4" w:rsidRDefault="004872D4" w:rsidP="004872D4">
      <w:pPr>
        <w:pStyle w:val="BodyText"/>
        <w:numPr>
          <w:ilvl w:val="0"/>
          <w:numId w:val="35"/>
        </w:numPr>
        <w:rPr>
          <w:lang w:val="en-US"/>
        </w:rPr>
      </w:pPr>
      <w:r>
        <w:rPr>
          <w:lang w:val="en-US"/>
        </w:rPr>
        <w:t>Generally reduced storage holding time;</w:t>
      </w:r>
    </w:p>
    <w:p w14:paraId="07B922DE" w14:textId="29AF0685" w:rsidR="004872D4" w:rsidRDefault="004872D4" w:rsidP="004872D4">
      <w:pPr>
        <w:pStyle w:val="BodyText"/>
        <w:numPr>
          <w:ilvl w:val="0"/>
          <w:numId w:val="35"/>
        </w:numPr>
        <w:rPr>
          <w:lang w:val="en-US"/>
        </w:rPr>
      </w:pPr>
      <w:r>
        <w:rPr>
          <w:lang w:val="en-US"/>
        </w:rPr>
        <w:t>Reduced storage for a given fraction of the total load supplied by firm generation; and</w:t>
      </w:r>
    </w:p>
    <w:p w14:paraId="647B6468" w14:textId="77777777" w:rsidR="004872D4" w:rsidRDefault="004872D4" w:rsidP="004872D4">
      <w:pPr>
        <w:pStyle w:val="BodyText"/>
        <w:numPr>
          <w:ilvl w:val="0"/>
          <w:numId w:val="35"/>
        </w:numPr>
        <w:rPr>
          <w:lang w:val="en-US"/>
        </w:rPr>
      </w:pPr>
      <w:r>
        <w:rPr>
          <w:lang w:val="en-US"/>
        </w:rPr>
        <w:lastRenderedPageBreak/>
        <w:t>Reduced curtailment that is more evenly distributed through the year.</w:t>
      </w:r>
    </w:p>
    <w:p w14:paraId="7DE6089D" w14:textId="60B14327" w:rsidR="007711AD" w:rsidRDefault="00FC50A3" w:rsidP="007711AD">
      <w:pPr>
        <w:pStyle w:val="BodyText"/>
        <w:ind w:firstLine="0pt"/>
      </w:pPr>
      <w:r>
        <w:rPr>
          <w:lang w:val="en-US"/>
        </w:rPr>
        <w:t>When</w:t>
      </w:r>
      <w:r w:rsidR="007711AD">
        <w:t xml:space="preserve"> PV is optimized to serve the load, the total cost of PV + storage is consequently reduced, which should enable PV to play a bigger role in the future grid. </w:t>
      </w:r>
    </w:p>
    <w:p w14:paraId="3CFFF42A" w14:textId="33707FDD" w:rsidR="00363C27" w:rsidRDefault="00363C27" w:rsidP="00363C27">
      <w:pPr>
        <w:pStyle w:val="BodyText"/>
        <w:rPr>
          <w:lang w:val="en-US"/>
        </w:rPr>
      </w:pPr>
      <w:r>
        <w:rPr>
          <w:lang w:val="en-US"/>
        </w:rPr>
        <w:t xml:space="preserve">The </w:t>
      </w:r>
      <w:r w:rsidR="000C4B14">
        <w:rPr>
          <w:lang w:val="en-US"/>
        </w:rPr>
        <w:t xml:space="preserve">use of PV orientation to tailor the annual generation profile to best match the load is perhaps a case of knowledge that is “well-known to those who know it well,” namely to PV specialists, but maybe not to utility system planners and </w:t>
      </w:r>
      <w:r w:rsidR="004C5430">
        <w:rPr>
          <w:lang w:val="en-US"/>
        </w:rPr>
        <w:t>policymakers</w:t>
      </w:r>
      <w:r w:rsidR="000C4B14">
        <w:rPr>
          <w:lang w:val="en-US"/>
        </w:rPr>
        <w:t>.  One of the aims of this paper has been to show that the same principles guiding the design of stand-alone PV systems in years past are applicable to the whole grid as we seek to rid it of carbon emissions. In effect, t</w:t>
      </w:r>
      <w:r w:rsidR="004C5430">
        <w:rPr>
          <w:lang w:val="en-US"/>
        </w:rPr>
        <w:t>he</w:t>
      </w:r>
      <w:r w:rsidR="000C4B14">
        <w:rPr>
          <w:lang w:val="en-US"/>
        </w:rPr>
        <w:t xml:space="preserve"> future carbon-free grid driven by </w:t>
      </w:r>
      <w:r w:rsidR="004C5430">
        <w:rPr>
          <w:lang w:val="en-US"/>
        </w:rPr>
        <w:t>renewable</w:t>
      </w:r>
      <w:r w:rsidR="000C4B14">
        <w:rPr>
          <w:lang w:val="en-US"/>
        </w:rPr>
        <w:t xml:space="preserve"> energy is a stand-alone system, only bigger. </w:t>
      </w:r>
    </w:p>
    <w:p w14:paraId="4AE01E52" w14:textId="645C5B31" w:rsidR="000C4B14" w:rsidRDefault="000C4B14" w:rsidP="00363C27">
      <w:pPr>
        <w:pStyle w:val="BodyText"/>
        <w:rPr>
          <w:lang w:val="en-US"/>
        </w:rPr>
      </w:pPr>
      <w:r>
        <w:rPr>
          <w:lang w:val="en-US"/>
        </w:rPr>
        <w:t xml:space="preserve">The simplified assumptions used in the analyses here make any quantitative assessment of cost savings achievable through optimized system-wide PV orientation doubtful, but </w:t>
      </w:r>
      <w:r w:rsidR="00FE6327">
        <w:rPr>
          <w:lang w:val="en-US"/>
        </w:rPr>
        <w:t xml:space="preserve">the analytical results nevertheless clearly point to significant savings in total capital costs </w:t>
      </w:r>
      <w:r w:rsidR="007711AD">
        <w:rPr>
          <w:lang w:val="en-US"/>
        </w:rPr>
        <w:t>that</w:t>
      </w:r>
      <w:r w:rsidR="00FE6327">
        <w:rPr>
          <w:lang w:val="en-US"/>
        </w:rPr>
        <w:t xml:space="preserve"> should therefore motivate planners working with more robust and complete models for optimal capacity expansion and dispatch to include PV orientation options in their list of design choices for system planning.</w:t>
      </w:r>
      <w:r w:rsidR="007711AD">
        <w:rPr>
          <w:lang w:val="en-US"/>
        </w:rPr>
        <w:t xml:space="preserve"> </w:t>
      </w:r>
    </w:p>
    <w:p w14:paraId="47B3BC24" w14:textId="46236607" w:rsidR="00FE6327" w:rsidRDefault="007711AD" w:rsidP="00363C27">
      <w:pPr>
        <w:pStyle w:val="BodyText"/>
        <w:rPr>
          <w:lang w:val="en-US"/>
        </w:rPr>
      </w:pPr>
      <w:r>
        <w:rPr>
          <w:lang w:val="en-US"/>
        </w:rPr>
        <w:t>Our results</w:t>
      </w:r>
      <w:r w:rsidR="00FE6327">
        <w:rPr>
          <w:lang w:val="en-US"/>
        </w:rPr>
        <w:t xml:space="preserve"> should also alert state </w:t>
      </w:r>
      <w:r w:rsidR="00EE0BF3">
        <w:rPr>
          <w:lang w:val="en-US"/>
        </w:rPr>
        <w:t>policymakers</w:t>
      </w:r>
      <w:r w:rsidR="00FE6327">
        <w:rPr>
          <w:lang w:val="en-US"/>
        </w:rPr>
        <w:t xml:space="preserve"> and utility buyers to the need to consider how best to ensure PV plants procured in the coming years help to optimize the whole system for lowest cost through contract requirements and remuneration schemes. Remuneration of PV plants on the simple basis of kWh produced regardless of the timing of production will simply serve to ensure growth of generation at times it’s not needed, at the expense of generation that is lacking when it’s needed most.</w:t>
      </w:r>
      <w:r w:rsidR="00372125">
        <w:rPr>
          <w:lang w:val="en-US"/>
        </w:rPr>
        <w:t xml:space="preserve"> </w:t>
      </w:r>
    </w:p>
    <w:p w14:paraId="3DE4A158" w14:textId="1A9A2261" w:rsidR="008E4770" w:rsidRPr="00A356A6" w:rsidRDefault="008E4770" w:rsidP="008E4770">
      <w:pPr>
        <w:pStyle w:val="Heading1"/>
        <w:numPr>
          <w:ilvl w:val="0"/>
          <w:numId w:val="0"/>
        </w:numPr>
      </w:pPr>
      <w:r>
        <w:t>Acknowledgement</w:t>
      </w:r>
      <w:r w:rsidR="005740A5">
        <w:t>s</w:t>
      </w:r>
    </w:p>
    <w:p w14:paraId="070E8683" w14:textId="15000B75" w:rsidR="008E4770" w:rsidRDefault="008E4770" w:rsidP="008E4770">
      <w:pPr>
        <w:pStyle w:val="BodyText"/>
        <w:rPr>
          <w:lang w:val="en-US"/>
        </w:rPr>
      </w:pPr>
      <w:r>
        <w:rPr>
          <w:lang w:val="en-US"/>
        </w:rPr>
        <w:t xml:space="preserve">The authors acknowledge </w:t>
      </w:r>
      <w:r w:rsidR="009A03F6">
        <w:rPr>
          <w:lang w:val="en-US"/>
        </w:rPr>
        <w:t>Dr. Ron Sinton for his review and thoughtful feedback</w:t>
      </w:r>
      <w:r w:rsidR="000C4B14">
        <w:rPr>
          <w:lang w:val="en-US"/>
        </w:rPr>
        <w:t xml:space="preserve"> </w:t>
      </w:r>
    </w:p>
    <w:p w14:paraId="3DC431EA" w14:textId="7D67D18F" w:rsidR="00114718" w:rsidRDefault="00114718" w:rsidP="00114718">
      <w:pPr>
        <w:pStyle w:val="BodyText"/>
        <w:rPr>
          <w:lang w:val="en-US"/>
        </w:rPr>
      </w:pPr>
      <w:r w:rsidRPr="00114718">
        <w:rPr>
          <w:lang w:val="en-US"/>
        </w:rPr>
        <w:t xml:space="preserve">This work was </w:t>
      </w:r>
      <w:r>
        <w:rPr>
          <w:lang w:val="en-US"/>
        </w:rPr>
        <w:t xml:space="preserve">partly </w:t>
      </w:r>
      <w:r w:rsidRPr="00114718">
        <w:rPr>
          <w:lang w:val="en-US"/>
        </w:rPr>
        <w:t xml:space="preserve">supported by the California Energy Commission [EPC-19-060]. This document was prepared </w:t>
      </w:r>
      <w:proofErr w:type="gramStart"/>
      <w:r w:rsidRPr="00114718">
        <w:rPr>
          <w:lang w:val="en-US"/>
        </w:rPr>
        <w:t>as a result of</w:t>
      </w:r>
      <w:proofErr w:type="gramEnd"/>
      <w:r w:rsidRPr="00114718">
        <w:rPr>
          <w:lang w:val="en-US"/>
        </w:rPr>
        <w:t xml:space="preserve"> work sponsored by the California Energy Commission</w:t>
      </w:r>
      <w:r>
        <w:rPr>
          <w:lang w:val="en-US"/>
        </w:rPr>
        <w:t>.</w:t>
      </w:r>
      <w:r w:rsidRPr="00114718">
        <w:rPr>
          <w:lang w:val="en-US"/>
        </w:rPr>
        <w:t xml:space="preserve"> It does not necessarily represent the views of the Energy Commission, its employees, or the State of California. The Energy Commission, the State of California, its employees, contractors, and subcontractors</w:t>
      </w:r>
      <w:r>
        <w:rPr>
          <w:lang w:val="en-US"/>
        </w:rPr>
        <w:t xml:space="preserve"> </w:t>
      </w:r>
      <w:r w:rsidRPr="00114718">
        <w:rPr>
          <w:lang w:val="en-US"/>
        </w:rPr>
        <w:t>make no warranty, express or implied, and assume no legal liability for the information in this document; nor does any party represent that the use of this information will not infringe upon privately owned rights. This report has not been approved or disapproved by the Energy Commission nor has the Energy Commission passed upon the accuracy of the information in this report.</w:t>
      </w:r>
    </w:p>
    <w:p w14:paraId="401EBD0A" w14:textId="77777777" w:rsidR="009303D9" w:rsidRPr="00A356A6" w:rsidRDefault="009303D9" w:rsidP="00AD61BF">
      <w:pPr>
        <w:pStyle w:val="Heading1"/>
        <w:numPr>
          <w:ilvl w:val="0"/>
          <w:numId w:val="0"/>
        </w:numPr>
      </w:pPr>
      <w:r w:rsidRPr="00A356A6">
        <w:t>References</w:t>
      </w:r>
    </w:p>
    <w:p w14:paraId="5D43C521" w14:textId="7871B082" w:rsidR="007F2885" w:rsidRDefault="007F2885" w:rsidP="0004781E">
      <w:pPr>
        <w:pStyle w:val="references"/>
        <w:ind w:start="17.70pt" w:hanging="17.70pt"/>
      </w:pPr>
      <w:r w:rsidRPr="007F2885">
        <w:t>Liz Gill, Aleecia Gutierrez, Terra Weeks</w:t>
      </w:r>
      <w:r>
        <w:t>, “</w:t>
      </w:r>
      <w:r w:rsidRPr="007F2885">
        <w:t>2021 SB 100 Joint Agency Report, Achieving 100 Percent Clean Electricity in California: An Initial Assessment</w:t>
      </w:r>
      <w:r>
        <w:t xml:space="preserve">”, California Energy Commission Report No. CEC-200-2021-001, March 15, 2021, Updated September 3, 2021, retrieved from  </w:t>
      </w:r>
      <w:hyperlink r:id="rId24" w:history="1">
        <w:r w:rsidRPr="0065496D">
          <w:rPr>
            <w:rStyle w:val="Hyperlink"/>
          </w:rPr>
          <w:t>https://www.energy.ca.gov/publications/2021/2021-sb-100-joint-agency-report-achieving-100-percent-clean-electricity</w:t>
        </w:r>
      </w:hyperlink>
      <w:r>
        <w:t xml:space="preserve"> </w:t>
      </w:r>
    </w:p>
    <w:p w14:paraId="40D7C0A4" w14:textId="07E416EF" w:rsidR="0029698F" w:rsidRDefault="0029698F" w:rsidP="0029698F">
      <w:pPr>
        <w:pStyle w:val="references"/>
      </w:pPr>
      <w:r>
        <w:t xml:space="preserve">Mahmoud Y. Abido, Kenji Shiraishi, Pedro Andrés Sánchez-Pérez, Russell K. Jones, Zabir Mahmud, Sergio Castellanos, Noah Kittner, Daniel M. Kammen, and Sarah R. Kurtz, “Seasonal Challenges for a </w:t>
      </w:r>
      <w:r>
        <w:t>Zero-Carbon Grid in California”, 48</w:t>
      </w:r>
      <w:r w:rsidRPr="001D2080">
        <w:rPr>
          <w:vertAlign w:val="superscript"/>
        </w:rPr>
        <w:t>th</w:t>
      </w:r>
      <w:r>
        <w:t xml:space="preserve"> IEEE Photovoltaic Specialist Conference, 2020.</w:t>
      </w:r>
    </w:p>
    <w:p w14:paraId="5450878B" w14:textId="7B67BEA4" w:rsidR="002D7680" w:rsidRDefault="002D7680" w:rsidP="002D7680">
      <w:pPr>
        <w:pStyle w:val="references"/>
      </w:pPr>
      <w:r>
        <w:t xml:space="preserve">Abido, M.Y., Mahmud, Z., Sánchez-Pérez, P.A., Kurtz, S.R., “Seasonal Challenges for a California Renewable- Energy-Driven Grid,” ISCIENCE (2022), doi: </w:t>
      </w:r>
      <w:hyperlink r:id="rId25" w:history="1">
        <w:r w:rsidRPr="00D93921">
          <w:rPr>
            <w:rStyle w:val="Hyperlink"/>
          </w:rPr>
          <w:t>https://doi.org/10.1016/j.isci.2021.103577</w:t>
        </w:r>
      </w:hyperlink>
      <w:r>
        <w:t>.</w:t>
      </w:r>
    </w:p>
    <w:p w14:paraId="36DA9AB7" w14:textId="58752046" w:rsidR="00E22A23" w:rsidRDefault="00E22A23" w:rsidP="0085716F">
      <w:pPr>
        <w:pStyle w:val="references"/>
      </w:pPr>
      <w:r>
        <w:t xml:space="preserve">D. J. Kuhn, I. J. Muirhead and N. F.Teede, “Photovoltaic System Design for Remote Telecommunication Installations”, </w:t>
      </w:r>
      <w:r w:rsidR="0029698F" w:rsidRPr="0029698F">
        <w:t>INTELEC '85 - Seventh International Telecommunications Energy Conference</w:t>
      </w:r>
      <w:r w:rsidR="0029698F">
        <w:t>, 14-17 Oct. 1985</w:t>
      </w:r>
      <w:r w:rsidR="0066499D">
        <w:t>.</w:t>
      </w:r>
    </w:p>
    <w:p w14:paraId="65B9E2AA" w14:textId="20640548" w:rsidR="00E22A23" w:rsidRDefault="00E22A23" w:rsidP="0085716F">
      <w:pPr>
        <w:pStyle w:val="references"/>
      </w:pPr>
      <w:r>
        <w:t xml:space="preserve">B. Mortensen, P. Ahm, “Photovoltaic Systems as Energy Source for Telecom Equipment”, </w:t>
      </w:r>
      <w:r w:rsidR="0029698F" w:rsidRPr="0029698F">
        <w:t>INTELEC '81 - Third International Telecom</w:t>
      </w:r>
      <w:r w:rsidR="0029698F">
        <w:t>-</w:t>
      </w:r>
      <w:r w:rsidR="0029698F" w:rsidRPr="0029698F">
        <w:t>munications Energy Conference</w:t>
      </w:r>
      <w:r w:rsidR="0029698F">
        <w:t xml:space="preserve">, </w:t>
      </w:r>
      <w:r w:rsidR="0029698F" w:rsidRPr="0029698F">
        <w:t>19-21 May 1981</w:t>
      </w:r>
      <w:r w:rsidR="0066499D">
        <w:t>.</w:t>
      </w:r>
    </w:p>
    <w:p w14:paraId="3FFE948F" w14:textId="3C5D1ED1" w:rsidR="009303D9" w:rsidRDefault="00350349" w:rsidP="0004781E">
      <w:pPr>
        <w:pStyle w:val="references"/>
        <w:ind w:start="17.70pt" w:hanging="17.70pt"/>
      </w:pPr>
      <w:r>
        <w:t>Hans S. Rauschenbach, Solar Cell Array Design Handbook, Section 3.12, Van Nostrand Reinholdt, 1980.</w:t>
      </w:r>
    </w:p>
    <w:p w14:paraId="3CD94814" w14:textId="77777777" w:rsidR="00D11F3C" w:rsidRDefault="00D11F3C" w:rsidP="00D11F3C">
      <w:pPr>
        <w:pStyle w:val="references"/>
      </w:pPr>
      <w:r>
        <w:t xml:space="preserve">NREL/TP-463-5607: Marion, William, and Stephen Wilcox, “Solar Radiation Data Manual for Flat-plate and Concentrating Collectors.” Apr. 1994. </w:t>
      </w:r>
      <w:hyperlink r:id="rId26" w:tgtFrame="_blank" w:tooltip="Document DOI URL" w:history="1">
        <w:r>
          <w:rPr>
            <w:rStyle w:val="Hyperlink"/>
          </w:rPr>
          <w:t>https://doi.org/10.2172/10169141</w:t>
        </w:r>
      </w:hyperlink>
    </w:p>
    <w:p w14:paraId="00F39419" w14:textId="713A830C" w:rsidR="00CB6D90" w:rsidRDefault="00CB6D90" w:rsidP="0085716F">
      <w:pPr>
        <w:pStyle w:val="references"/>
      </w:pPr>
      <w:r w:rsidRPr="00CB6D90">
        <w:t>IEEE Approved Draft Recommended Practice for Sizing of Stand-Alone Photovoltaic (PV) Systems</w:t>
      </w:r>
      <w:r w:rsidR="005A4E5D">
        <w:t xml:space="preserve">, </w:t>
      </w:r>
      <w:r w:rsidR="005A4E5D" w:rsidRPr="005A4E5D">
        <w:t>IEEE Std 1562</w:t>
      </w:r>
      <w:r w:rsidR="005A4E5D">
        <w:t>-2021, revision of IEEE Std 1562-2007, approved 16 June 2021.</w:t>
      </w:r>
    </w:p>
    <w:p w14:paraId="25687E1E" w14:textId="0DEC7EAC" w:rsidR="0016260C" w:rsidRPr="00AD6FDD" w:rsidRDefault="0016260C" w:rsidP="0016260C">
      <w:pPr>
        <w:pStyle w:val="references"/>
      </w:pPr>
      <w:r w:rsidRPr="00295FE9">
        <w:rPr>
          <w:i/>
          <w:iCs/>
        </w:rPr>
        <w:t>Inputs &amp; Assumptions: 2019-2020 Integrated Resource Planning</w:t>
      </w:r>
      <w:r w:rsidRPr="00295FE9">
        <w:t xml:space="preserve">, E3 Consulting, available at </w:t>
      </w:r>
      <w:hyperlink r:id="rId27" w:history="1">
        <w:r w:rsidRPr="00BC0C57">
          <w:rPr>
            <w:rStyle w:val="Hyperlink"/>
          </w:rPr>
          <w:t>https://www.cpuc.ca.gov/industries-and-topics/electrical-energy/electric-power-procurement/long-term-procurement-planning/2019-20-irp-events-and-materials</w:t>
        </w:r>
      </w:hyperlink>
      <w:r>
        <w:t xml:space="preserve"> </w:t>
      </w:r>
    </w:p>
    <w:p w14:paraId="34BAF90D" w14:textId="3E0CB4DF" w:rsidR="0016260C" w:rsidRPr="00AD6FDD" w:rsidRDefault="0016260C" w:rsidP="0016260C">
      <w:pPr>
        <w:pStyle w:val="references"/>
      </w:pPr>
      <w:r w:rsidRPr="005E1D2C">
        <w:t xml:space="preserve">Patricia L. Hidalgo-Gonzalez, Josiah Johnston, and Daniel M. Kammen,  “Cost and impact of weak medium term policies in the electricity system in Western North America”,   The Electricity Journal 34 (2021), </w:t>
      </w:r>
      <w:hyperlink r:id="rId28" w:history="1">
        <w:r w:rsidRPr="00BC0C57">
          <w:rPr>
            <w:rStyle w:val="Hyperlink"/>
          </w:rPr>
          <w:t>https://doi.org/10.1016/j.tej.2021.106925</w:t>
        </w:r>
      </w:hyperlink>
      <w:r>
        <w:t xml:space="preserve"> </w:t>
      </w:r>
    </w:p>
    <w:p w14:paraId="561A2944" w14:textId="739C7E43" w:rsidR="0016260C" w:rsidRPr="00AD6FDD" w:rsidRDefault="0016260C" w:rsidP="0016260C">
      <w:pPr>
        <w:pStyle w:val="references"/>
      </w:pPr>
      <w:r w:rsidRPr="00AD6FDD">
        <w:t>Trieu Mai, Easan Drury, Kelly Eurek, Natalie Bodington, Anthony Lopez, and Andrew Perry, Resource Planning Model: An Integrated Resource Planning and Dispatch Tool for Regional Electric Systems, Technical Report NREL/TP-6A20- 56723, January 2013</w:t>
      </w:r>
    </w:p>
    <w:p w14:paraId="44ADE74D" w14:textId="590AFE28" w:rsidR="0016260C" w:rsidRDefault="0016260C" w:rsidP="0016260C">
      <w:pPr>
        <w:pStyle w:val="references"/>
      </w:pPr>
      <w:r w:rsidRPr="00AD6FDD">
        <w:t xml:space="preserve">Ho, Jonathan, Jonathon Becker, Maxwell Brown, Patrick Brown, Ilya Chernyakhovskiy, Stuart Cohen, Wesley Cole, et al. 2021. </w:t>
      </w:r>
      <w:r w:rsidRPr="00AD6FDD">
        <w:rPr>
          <w:i/>
          <w:iCs/>
        </w:rPr>
        <w:t>Regional Energy Deployment System (ReEDS) Model Documentation: Version 2020</w:t>
      </w:r>
      <w:r w:rsidRPr="00AD6FDD">
        <w:t xml:space="preserve">. Golden, CO: National Renewable Energy Laboratory. NREL/TP-6A20-78195. </w:t>
      </w:r>
      <w:hyperlink r:id="rId29" w:history="1">
        <w:r w:rsidRPr="00BC0C57">
          <w:rPr>
            <w:rStyle w:val="Hyperlink"/>
          </w:rPr>
          <w:t>https://www.nrel.gov/docs/fy21osti/78195.pdf</w:t>
        </w:r>
      </w:hyperlink>
      <w:r w:rsidRPr="00AD6FDD">
        <w:t>.</w:t>
      </w:r>
    </w:p>
    <w:p w14:paraId="5E8F4764" w14:textId="65D00A21" w:rsidR="0016260C" w:rsidRDefault="0016260C" w:rsidP="0016260C">
      <w:pPr>
        <w:pStyle w:val="references"/>
      </w:pPr>
      <w:r w:rsidRPr="008B1A65">
        <w:t>Yinong Sun, Paige Jadun, Brent Nelson, Matteo</w:t>
      </w:r>
      <w:r>
        <w:t xml:space="preserve"> </w:t>
      </w:r>
      <w:r w:rsidRPr="008B1A65">
        <w:t>Muratori, Caitlin Murphy, Jeffrey Logan, and Trieu Mai</w:t>
      </w:r>
      <w:r>
        <w:t>,</w:t>
      </w:r>
      <w:r w:rsidRPr="008B1A65">
        <w:t xml:space="preserve"> </w:t>
      </w:r>
      <w:r w:rsidRPr="00216A58">
        <w:t>Electrification Futures Study: Methodological Approaches for Assessing Long-Term Power System Impacts of End-Use Electrification</w:t>
      </w:r>
      <w:r>
        <w:t xml:space="preserve">, </w:t>
      </w:r>
      <w:r w:rsidRPr="008B1A65">
        <w:t xml:space="preserve">Golden, CO: National Renewable Energy Laboratory. NREL/TP-6A20-73336. </w:t>
      </w:r>
      <w:hyperlink r:id="rId30" w:history="1">
        <w:r w:rsidRPr="00BC0C57">
          <w:rPr>
            <w:rStyle w:val="Hyperlink"/>
          </w:rPr>
          <w:t>https://www.nrel.gov/docs/fy20osti/73336.pdf</w:t>
        </w:r>
      </w:hyperlink>
      <w:r w:rsidRPr="008B1A65">
        <w:t>.</w:t>
      </w:r>
    </w:p>
    <w:p w14:paraId="39B2C00A" w14:textId="35AF218B" w:rsidR="0016260C" w:rsidRDefault="0016260C" w:rsidP="0016260C">
      <w:pPr>
        <w:pStyle w:val="references"/>
      </w:pPr>
      <w:r w:rsidRPr="00A56C01">
        <w:t xml:space="preserve">Wesley J. Cole, Danny Greer, Paul Denholm, A. Will Frazier, Scott Machen, Trieu Mai, Nina Vincent, and Samuel F. Baldwin, Quantifying the challenge of reaching a 100% renewable energy power system for the United States, Joule (2021), </w:t>
      </w:r>
      <w:hyperlink r:id="rId31" w:history="1">
        <w:r w:rsidRPr="00BC0C57">
          <w:rPr>
            <w:rStyle w:val="Hyperlink"/>
          </w:rPr>
          <w:t>https://doi.org/10.1016/j.joule.2021.05.011</w:t>
        </w:r>
      </w:hyperlink>
      <w:r>
        <w:t>.</w:t>
      </w:r>
    </w:p>
    <w:p w14:paraId="197E0B03" w14:textId="05F16419" w:rsidR="0016260C" w:rsidRDefault="0016260C" w:rsidP="0016260C">
      <w:pPr>
        <w:pStyle w:val="references"/>
      </w:pPr>
      <w:r w:rsidRPr="00015E3B">
        <w:t>Andrew D. Mills and Ryan H. Wiser</w:t>
      </w:r>
      <w:r>
        <w:t>, “</w:t>
      </w:r>
      <w:r w:rsidRPr="00015E3B">
        <w:t>Changes in the Economic Value of Photovoltaic</w:t>
      </w:r>
      <w:r>
        <w:t xml:space="preserve"> </w:t>
      </w:r>
      <w:r w:rsidRPr="00015E3B">
        <w:t>Generation at High Penetration Levels:</w:t>
      </w:r>
      <w:r>
        <w:t xml:space="preserve"> </w:t>
      </w:r>
      <w:r w:rsidRPr="00015E3B">
        <w:t>A Pilot Case Study of California</w:t>
      </w:r>
      <w:r>
        <w:t xml:space="preserve">”, </w:t>
      </w:r>
      <w:r w:rsidRPr="00015E3B">
        <w:t xml:space="preserve"> IEEE J</w:t>
      </w:r>
      <w:r>
        <w:t>ournal of</w:t>
      </w:r>
      <w:r w:rsidRPr="00015E3B">
        <w:t xml:space="preserve"> P</w:t>
      </w:r>
      <w:r>
        <w:t>hotovoltaics</w:t>
      </w:r>
      <w:r w:rsidRPr="00015E3B">
        <w:t>, V</w:t>
      </w:r>
      <w:r>
        <w:t>ol</w:t>
      </w:r>
      <w:r w:rsidRPr="00015E3B">
        <w:t>. 3, N</w:t>
      </w:r>
      <w:r>
        <w:t>o</w:t>
      </w:r>
      <w:r w:rsidRPr="00015E3B">
        <w:t>. 4, O</w:t>
      </w:r>
      <w:r>
        <w:t>ctober</w:t>
      </w:r>
      <w:r w:rsidRPr="00015E3B">
        <w:t xml:space="preserve"> 2013</w:t>
      </w:r>
      <w:r>
        <w:t>.</w:t>
      </w:r>
    </w:p>
    <w:p w14:paraId="7148C1F0" w14:textId="65304B40" w:rsidR="00EB0942" w:rsidRDefault="0016260C" w:rsidP="0016260C">
      <w:pPr>
        <w:pStyle w:val="references"/>
      </w:pPr>
      <w:r w:rsidRPr="00776E76">
        <w:t xml:space="preserve">Mark Z. Jacobson, </w:t>
      </w:r>
      <w:r w:rsidR="00EB0942">
        <w:t>“</w:t>
      </w:r>
      <w:r w:rsidR="00EB0942" w:rsidRPr="00EB0942">
        <w:t>The cost of grid stability with 100 % clean, renewable energy for all purposes when all countries are isolated versus interconnected</w:t>
      </w:r>
      <w:r w:rsidR="00EB0942">
        <w:t xml:space="preserve">”, </w:t>
      </w:r>
      <w:r w:rsidR="00EB0942" w:rsidRPr="00EB0942">
        <w:t>Renewable Energy 179 (2021) 1065e1075</w:t>
      </w:r>
      <w:r w:rsidR="00EB0942">
        <w:t xml:space="preserve">, </w:t>
      </w:r>
      <w:hyperlink r:id="rId32" w:history="1">
        <w:r w:rsidR="00EB0942" w:rsidRPr="00BC0C57">
          <w:rPr>
            <w:rStyle w:val="Hyperlink"/>
          </w:rPr>
          <w:t>https://doi.org/10.1016/j.renene.2021.07.115</w:t>
        </w:r>
      </w:hyperlink>
      <w:r w:rsidR="00EB0942">
        <w:t xml:space="preserve">. </w:t>
      </w:r>
    </w:p>
    <w:p w14:paraId="2DD60CFB" w14:textId="431C63DD" w:rsidR="0016260C" w:rsidRPr="00B0679A" w:rsidRDefault="0016260C" w:rsidP="0016260C">
      <w:pPr>
        <w:pStyle w:val="references"/>
      </w:pPr>
      <w:r w:rsidRPr="00B0679A">
        <w:t>Bethany A. Frew, Sarah Becker, Michael J. Dvorak, Gorm B. Andresen,</w:t>
      </w:r>
      <w:r>
        <w:t xml:space="preserve"> and </w:t>
      </w:r>
      <w:r w:rsidRPr="00B0679A">
        <w:t>Mark Z. Jacobson</w:t>
      </w:r>
      <w:r>
        <w:t>,</w:t>
      </w:r>
      <w:r w:rsidRPr="00B0679A">
        <w:t xml:space="preserve"> </w:t>
      </w:r>
      <w:r>
        <w:t>“</w:t>
      </w:r>
      <w:r w:rsidRPr="00B0679A">
        <w:t>Flexibility mechanisms and pathways to a highly renewable US</w:t>
      </w:r>
      <w:r>
        <w:t xml:space="preserve"> </w:t>
      </w:r>
      <w:r w:rsidRPr="00B0679A">
        <w:t>electricity future</w:t>
      </w:r>
      <w:r>
        <w:t xml:space="preserve">”, </w:t>
      </w:r>
      <w:r w:rsidRPr="00B0679A">
        <w:t>Energy 101 (2016) 65e78</w:t>
      </w:r>
      <w:r>
        <w:t xml:space="preserve">, </w:t>
      </w:r>
      <w:hyperlink r:id="rId33" w:history="1">
        <w:r w:rsidRPr="00BC0C57">
          <w:rPr>
            <w:rStyle w:val="Hyperlink"/>
          </w:rPr>
          <w:t>http://dx.doi.org/10.1016/j.energy.2016.01.079</w:t>
        </w:r>
      </w:hyperlink>
      <w:r>
        <w:t xml:space="preserve">. </w:t>
      </w:r>
    </w:p>
    <w:p w14:paraId="07BCCBD5" w14:textId="254B73CB" w:rsidR="0016260C" w:rsidRDefault="0016260C" w:rsidP="0016260C">
      <w:pPr>
        <w:pStyle w:val="references"/>
      </w:pPr>
      <w:r w:rsidRPr="007A7DF0">
        <w:t>Jacqueline A. Dowling, Katherine Z. Rinaldi, Tyler H. Ruggles, Steven J. Davis, Mengyao Yuan,</w:t>
      </w:r>
      <w:r>
        <w:t xml:space="preserve"> </w:t>
      </w:r>
      <w:r w:rsidRPr="007A7DF0">
        <w:t>Fan Tong, Nathan S. Lewis, and Ken Caldeira</w:t>
      </w:r>
      <w:r>
        <w:t>, “</w:t>
      </w:r>
      <w:r w:rsidRPr="007A7DF0">
        <w:t>Role of Long-Duration Energy Storage</w:t>
      </w:r>
      <w:r>
        <w:t xml:space="preserve"> </w:t>
      </w:r>
      <w:r w:rsidRPr="007A7DF0">
        <w:t>in Variable Renewable Electricity Systems</w:t>
      </w:r>
      <w:r>
        <w:t xml:space="preserve">”, </w:t>
      </w:r>
      <w:r w:rsidRPr="007A7DF0">
        <w:t>Joule 4, 1907–1928</w:t>
      </w:r>
      <w:r>
        <w:t xml:space="preserve">, </w:t>
      </w:r>
      <w:r w:rsidRPr="007A7DF0">
        <w:t>September 16, 2020</w:t>
      </w:r>
      <w:r>
        <w:t xml:space="preserve">, </w:t>
      </w:r>
      <w:hyperlink r:id="rId34" w:history="1">
        <w:r w:rsidRPr="00BC0C57">
          <w:rPr>
            <w:rStyle w:val="Hyperlink"/>
          </w:rPr>
          <w:t>https://doi.org/10.1016/j.joule.2020.07.007</w:t>
        </w:r>
      </w:hyperlink>
      <w:r>
        <w:t xml:space="preserve"> </w:t>
      </w:r>
    </w:p>
    <w:p w14:paraId="70E46B44" w14:textId="376994CB" w:rsidR="0016260C" w:rsidRDefault="0016260C" w:rsidP="0016260C">
      <w:pPr>
        <w:pStyle w:val="references"/>
      </w:pPr>
      <w:r w:rsidRPr="007C70B4">
        <w:t xml:space="preserve">Ejeong Baik and, Sally M. Benson, </w:t>
      </w:r>
      <w:bookmarkStart w:id="4" w:name="_Hlk96561299"/>
      <w:r w:rsidRPr="007C70B4">
        <w:t>“The role of carbon capture and storage in decarbonizing California’s electricity grid”, 15th International Conference on Greenhouse Gas Control Technologies, GHGT-15. Abu Dhabi, UAE, March 2021</w:t>
      </w:r>
      <w:bookmarkEnd w:id="4"/>
      <w:r>
        <w:t>.</w:t>
      </w:r>
    </w:p>
    <w:p w14:paraId="05F3F516" w14:textId="060996B2" w:rsidR="0016260C" w:rsidRDefault="0016260C" w:rsidP="0016260C">
      <w:pPr>
        <w:pStyle w:val="references"/>
      </w:pPr>
      <w:r w:rsidRPr="00A7093B">
        <w:t>Cory Budischak, DeAnna Sewell, Heather Thomson, Leon Mach, Dana E. Veron,</w:t>
      </w:r>
      <w:r>
        <w:t xml:space="preserve"> and </w:t>
      </w:r>
      <w:r w:rsidRPr="00A7093B">
        <w:t>Willett Kempton</w:t>
      </w:r>
      <w:r>
        <w:t xml:space="preserve">, </w:t>
      </w:r>
      <w:r w:rsidRPr="00A7093B">
        <w:t xml:space="preserve"> </w:t>
      </w:r>
      <w:r>
        <w:t>“</w:t>
      </w:r>
      <w:r w:rsidRPr="00A7093B">
        <w:t xml:space="preserve">Cost-minimized combinations of wind </w:t>
      </w:r>
      <w:r w:rsidRPr="00A7093B">
        <w:lastRenderedPageBreak/>
        <w:t>power, solar power and electrochemical</w:t>
      </w:r>
      <w:r>
        <w:t xml:space="preserve"> </w:t>
      </w:r>
      <w:r w:rsidRPr="00A7093B">
        <w:t>storage, powering the grid up to 99.9% of the time</w:t>
      </w:r>
      <w:r>
        <w:t xml:space="preserve">”, </w:t>
      </w:r>
      <w:r w:rsidRPr="00A7093B">
        <w:t>Journal of Power Sources 225 (2013) 60</w:t>
      </w:r>
      <w:r>
        <w:t>–</w:t>
      </w:r>
      <w:r w:rsidRPr="00A7093B">
        <w:t>74</w:t>
      </w:r>
      <w:r>
        <w:t xml:space="preserve">, </w:t>
      </w:r>
      <w:hyperlink r:id="rId35" w:history="1">
        <w:r w:rsidRPr="00BC0C57">
          <w:rPr>
            <w:rStyle w:val="Hyperlink"/>
          </w:rPr>
          <w:t>http://dx.doi.org/10.1016/j.jpowsour.2012.09.054</w:t>
        </w:r>
      </w:hyperlink>
      <w:r>
        <w:t xml:space="preserve">. </w:t>
      </w:r>
    </w:p>
    <w:p w14:paraId="7B0DF753" w14:textId="77D5B96E" w:rsidR="0016260C" w:rsidRDefault="0016260C" w:rsidP="0016260C">
      <w:pPr>
        <w:pStyle w:val="references"/>
      </w:pPr>
      <w:r w:rsidRPr="00A03AB4">
        <w:t>Nestor A. Sepulveda, Jesse D</w:t>
      </w:r>
      <w:r>
        <w:t>.</w:t>
      </w:r>
      <w:r w:rsidRPr="00A03AB4">
        <w:t>.Jenkins, Fernando J. de</w:t>
      </w:r>
      <w:r>
        <w:t xml:space="preserve"> </w:t>
      </w:r>
      <w:r w:rsidRPr="00A03AB4">
        <w:t xml:space="preserve">Sisternes, </w:t>
      </w:r>
      <w:r>
        <w:t xml:space="preserve">and </w:t>
      </w:r>
      <w:r w:rsidRPr="00A03AB4">
        <w:t xml:space="preserve">Richard K. Lester, </w:t>
      </w:r>
      <w:r>
        <w:t>“</w:t>
      </w:r>
      <w:r w:rsidRPr="00A03AB4">
        <w:t>The Role of Firm Low-Carbon Electricity</w:t>
      </w:r>
      <w:r>
        <w:t xml:space="preserve"> </w:t>
      </w:r>
      <w:r w:rsidRPr="00A03AB4">
        <w:t>Resources in Deep Decarbonization of Power</w:t>
      </w:r>
      <w:r>
        <w:t xml:space="preserve"> </w:t>
      </w:r>
      <w:r w:rsidRPr="00A03AB4">
        <w:t>Generation</w:t>
      </w:r>
      <w:r>
        <w:t>”,</w:t>
      </w:r>
      <w:r w:rsidRPr="00A03AB4">
        <w:t xml:space="preserve"> Joule 2, 2403–2420</w:t>
      </w:r>
      <w:r>
        <w:t xml:space="preserve">, </w:t>
      </w:r>
      <w:r w:rsidRPr="00A03AB4">
        <w:t>November 21, 2018</w:t>
      </w:r>
      <w:r>
        <w:t xml:space="preserve">, </w:t>
      </w:r>
      <w:hyperlink r:id="rId36" w:history="1">
        <w:r w:rsidRPr="00BC0C57">
          <w:rPr>
            <w:rStyle w:val="Hyperlink"/>
          </w:rPr>
          <w:t>https://doi.org/10.1016/j.joule.2018.08.006</w:t>
        </w:r>
      </w:hyperlink>
      <w:r>
        <w:t xml:space="preserve">. </w:t>
      </w:r>
    </w:p>
    <w:p w14:paraId="61D61D0B" w14:textId="30A22747" w:rsidR="0016260C" w:rsidRDefault="0016260C" w:rsidP="0016260C">
      <w:pPr>
        <w:pStyle w:val="references"/>
      </w:pPr>
      <w:r w:rsidRPr="00D606B2">
        <w:t>Micah S. Ziegler, Joshua</w:t>
      </w:r>
      <w:r>
        <w:t xml:space="preserve"> </w:t>
      </w:r>
      <w:r w:rsidRPr="00D606B2">
        <w:t>M.</w:t>
      </w:r>
      <w:r>
        <w:t xml:space="preserve"> </w:t>
      </w:r>
      <w:r w:rsidRPr="00D606B2">
        <w:t>Mueller, Gon</w:t>
      </w:r>
      <w:r>
        <w:t>c</w:t>
      </w:r>
      <w:r w:rsidRPr="00D606B2">
        <w:t>alo D. Pereira,</w:t>
      </w:r>
      <w:r>
        <w:t xml:space="preserve"> </w:t>
      </w:r>
      <w:r w:rsidRPr="00D606B2">
        <w:t>Juhyun Song, Marco Ferrara,</w:t>
      </w:r>
      <w:r>
        <w:t xml:space="preserve"> </w:t>
      </w:r>
      <w:r w:rsidRPr="00D606B2">
        <w:t>Yet-Ming Chiang, Jessika E.</w:t>
      </w:r>
      <w:r>
        <w:t xml:space="preserve"> </w:t>
      </w:r>
      <w:r w:rsidRPr="00D606B2">
        <w:t>Trancik</w:t>
      </w:r>
      <w:r>
        <w:t>, “</w:t>
      </w:r>
      <w:r w:rsidRPr="00D606B2">
        <w:t>Storage Requirements and Costs of Shaping</w:t>
      </w:r>
      <w:r>
        <w:t xml:space="preserve"> </w:t>
      </w:r>
      <w:r w:rsidRPr="00D606B2">
        <w:t>Renewable Energy Toward Grid</w:t>
      </w:r>
      <w:r>
        <w:t xml:space="preserve"> </w:t>
      </w:r>
      <w:r w:rsidRPr="00D606B2">
        <w:t>Decarbonization</w:t>
      </w:r>
      <w:r>
        <w:t xml:space="preserve">”, </w:t>
      </w:r>
      <w:r w:rsidRPr="00D606B2">
        <w:t>Joule 3, 2134–2153</w:t>
      </w:r>
      <w:r>
        <w:t xml:space="preserve">, </w:t>
      </w:r>
      <w:r w:rsidRPr="00D606B2">
        <w:t>September 18, 2019</w:t>
      </w:r>
      <w:r>
        <w:t xml:space="preserve">, </w:t>
      </w:r>
      <w:hyperlink r:id="rId37" w:history="1">
        <w:r w:rsidRPr="00BC0C57">
          <w:rPr>
            <w:rStyle w:val="Hyperlink"/>
          </w:rPr>
          <w:t>https://doi.org/10.1016/j.joule.2019.06.012</w:t>
        </w:r>
      </w:hyperlink>
      <w:r>
        <w:t xml:space="preserve">. </w:t>
      </w:r>
    </w:p>
    <w:p w14:paraId="6E250C6E" w14:textId="3C2341D9" w:rsidR="0016260C" w:rsidRPr="00525E63" w:rsidRDefault="0016260C" w:rsidP="0016260C">
      <w:pPr>
        <w:pStyle w:val="references"/>
      </w:pPr>
      <w:r w:rsidRPr="00525E63">
        <w:t xml:space="preserve">Ana Mileva, Josiah Johnston, James H. Nelson, </w:t>
      </w:r>
      <w:r>
        <w:t xml:space="preserve">and </w:t>
      </w:r>
      <w:r w:rsidRPr="00525E63">
        <w:t>Daniel M. Kammen</w:t>
      </w:r>
      <w:r>
        <w:t>,, “</w:t>
      </w:r>
      <w:r w:rsidRPr="00525E63">
        <w:t>Power system balancing for deep decarbonization of the electricitysector</w:t>
      </w:r>
      <w:r>
        <w:t xml:space="preserve">”, </w:t>
      </w:r>
      <w:r w:rsidRPr="000C30AA">
        <w:t>Applied Energy 162 (2016) 1001–1009</w:t>
      </w:r>
      <w:r>
        <w:t xml:space="preserve">, </w:t>
      </w:r>
      <w:hyperlink r:id="rId38" w:history="1">
        <w:r w:rsidRPr="00BC0C57">
          <w:rPr>
            <w:rStyle w:val="Hyperlink"/>
          </w:rPr>
          <w:t>http://dx.doi.org/10.1016/j.apenergy.2015.10.180</w:t>
        </w:r>
      </w:hyperlink>
      <w:r>
        <w:t xml:space="preserve">. </w:t>
      </w:r>
    </w:p>
    <w:p w14:paraId="04B715E0" w14:textId="0A806880" w:rsidR="005F7AFC" w:rsidRDefault="005F7AFC" w:rsidP="005F7AFC">
      <w:pPr>
        <w:pStyle w:val="references"/>
        <w:rPr>
          <w:rStyle w:val="normaltextrun"/>
        </w:rPr>
      </w:pPr>
      <w:r>
        <w:rPr>
          <w:rStyle w:val="normaltextrun"/>
        </w:rPr>
        <w:t xml:space="preserve">Christian </w:t>
      </w:r>
      <w:r w:rsidRPr="005F7AFC">
        <w:rPr>
          <w:rStyle w:val="normaltextrun"/>
        </w:rPr>
        <w:t>Breyer,</w:t>
      </w:r>
      <w:r>
        <w:rPr>
          <w:rStyle w:val="normaltextrun"/>
        </w:rPr>
        <w:t xml:space="preserve"> Dimitri</w:t>
      </w:r>
      <w:r w:rsidRPr="005F7AFC">
        <w:rPr>
          <w:rStyle w:val="normaltextrun"/>
        </w:rPr>
        <w:t xml:space="preserve"> Bogdanov, </w:t>
      </w:r>
      <w:r>
        <w:rPr>
          <w:rStyle w:val="normaltextrun"/>
        </w:rPr>
        <w:t xml:space="preserve">Ashish </w:t>
      </w:r>
      <w:r w:rsidRPr="005F7AFC">
        <w:rPr>
          <w:rStyle w:val="normaltextrun"/>
        </w:rPr>
        <w:t xml:space="preserve">Gulagi, </w:t>
      </w:r>
      <w:r>
        <w:rPr>
          <w:rStyle w:val="normaltextrun"/>
        </w:rPr>
        <w:t xml:space="preserve">Arman </w:t>
      </w:r>
      <w:r w:rsidRPr="005F7AFC">
        <w:rPr>
          <w:rStyle w:val="normaltextrun"/>
        </w:rPr>
        <w:t xml:space="preserve">Aghahosseini, </w:t>
      </w:r>
      <w:r>
        <w:rPr>
          <w:rStyle w:val="normaltextrun"/>
        </w:rPr>
        <w:t xml:space="preserve">Larissa S.N.S. </w:t>
      </w:r>
      <w:r w:rsidRPr="005F7AFC">
        <w:rPr>
          <w:rStyle w:val="normaltextrun"/>
        </w:rPr>
        <w:t xml:space="preserve">Barbosa, </w:t>
      </w:r>
      <w:r>
        <w:rPr>
          <w:rStyle w:val="normaltextrun"/>
        </w:rPr>
        <w:t xml:space="preserve">Otto </w:t>
      </w:r>
      <w:r w:rsidRPr="005F7AFC">
        <w:rPr>
          <w:rStyle w:val="normaltextrun"/>
        </w:rPr>
        <w:t xml:space="preserve">Koskinen, </w:t>
      </w:r>
      <w:r w:rsidR="00345235">
        <w:rPr>
          <w:rStyle w:val="normaltextrun"/>
        </w:rPr>
        <w:t xml:space="preserve">Maulidi </w:t>
      </w:r>
      <w:r w:rsidRPr="005F7AFC">
        <w:rPr>
          <w:rStyle w:val="normaltextrun"/>
        </w:rPr>
        <w:t xml:space="preserve">Barasa, </w:t>
      </w:r>
      <w:r w:rsidR="00345235">
        <w:rPr>
          <w:rStyle w:val="normaltextrun"/>
        </w:rPr>
        <w:t xml:space="preserve">Upeshka </w:t>
      </w:r>
      <w:r w:rsidRPr="005F7AFC">
        <w:rPr>
          <w:rStyle w:val="normaltextrun"/>
        </w:rPr>
        <w:t xml:space="preserve">Caldera, </w:t>
      </w:r>
      <w:r w:rsidR="00345235">
        <w:rPr>
          <w:rStyle w:val="normaltextrun"/>
        </w:rPr>
        <w:t xml:space="preserve">Svetlana </w:t>
      </w:r>
      <w:r w:rsidRPr="005F7AFC">
        <w:rPr>
          <w:rStyle w:val="normaltextrun"/>
        </w:rPr>
        <w:t xml:space="preserve">Afanaseva, </w:t>
      </w:r>
      <w:r w:rsidR="00345235">
        <w:rPr>
          <w:rStyle w:val="normaltextrun"/>
        </w:rPr>
        <w:t xml:space="preserve">Michael </w:t>
      </w:r>
      <w:r w:rsidRPr="005F7AFC">
        <w:rPr>
          <w:rStyle w:val="normaltextrun"/>
        </w:rPr>
        <w:t xml:space="preserve">Child, </w:t>
      </w:r>
      <w:r w:rsidR="00345235">
        <w:rPr>
          <w:rStyle w:val="normaltextrun"/>
        </w:rPr>
        <w:t xml:space="preserve">Javier </w:t>
      </w:r>
      <w:r w:rsidRPr="005F7AFC">
        <w:rPr>
          <w:rStyle w:val="normaltextrun"/>
        </w:rPr>
        <w:t xml:space="preserve">Farfan, </w:t>
      </w:r>
      <w:r w:rsidR="00345235">
        <w:rPr>
          <w:rStyle w:val="normaltextrun"/>
        </w:rPr>
        <w:t xml:space="preserve">and Pasi </w:t>
      </w:r>
      <w:r w:rsidRPr="005F7AFC">
        <w:rPr>
          <w:rStyle w:val="normaltextrun"/>
        </w:rPr>
        <w:t xml:space="preserve">Vainikka, </w:t>
      </w:r>
      <w:r w:rsidR="00345235">
        <w:rPr>
          <w:rStyle w:val="normaltextrun"/>
        </w:rPr>
        <w:t>“</w:t>
      </w:r>
      <w:r w:rsidRPr="005F7AFC">
        <w:rPr>
          <w:rStyle w:val="normaltextrun"/>
        </w:rPr>
        <w:t>On</w:t>
      </w:r>
      <w:r>
        <w:rPr>
          <w:rStyle w:val="normaltextrun"/>
        </w:rPr>
        <w:t xml:space="preserve"> </w:t>
      </w:r>
      <w:r w:rsidRPr="005F7AFC">
        <w:rPr>
          <w:rStyle w:val="normaltextrun"/>
        </w:rPr>
        <w:t>the role of solar photovoltaics in global energy transition scenarios.</w:t>
      </w:r>
      <w:r w:rsidR="00345235">
        <w:rPr>
          <w:rStyle w:val="normaltextrun"/>
        </w:rPr>
        <w:t>”</w:t>
      </w:r>
      <w:r w:rsidRPr="005F7AFC">
        <w:rPr>
          <w:rStyle w:val="normaltextrun"/>
        </w:rPr>
        <w:t xml:space="preserve"> Prog.</w:t>
      </w:r>
      <w:r>
        <w:rPr>
          <w:rStyle w:val="normaltextrun"/>
        </w:rPr>
        <w:t xml:space="preserve"> </w:t>
      </w:r>
      <w:r w:rsidRPr="005F7AFC">
        <w:rPr>
          <w:rStyle w:val="normaltextrun"/>
        </w:rPr>
        <w:t>Photovoltaics 25, 727–745</w:t>
      </w:r>
      <w:r w:rsidR="00345235">
        <w:rPr>
          <w:rStyle w:val="normaltextrun"/>
        </w:rPr>
        <w:t>, 2017</w:t>
      </w:r>
      <w:r w:rsidRPr="005F7AFC">
        <w:rPr>
          <w:rStyle w:val="normaltextrun"/>
        </w:rPr>
        <w:t>.</w:t>
      </w:r>
    </w:p>
    <w:p w14:paraId="7C82440A" w14:textId="18475C92" w:rsidR="00C209E7" w:rsidRDefault="00C209E7" w:rsidP="005F7AFC">
      <w:pPr>
        <w:pStyle w:val="references"/>
        <w:rPr>
          <w:rStyle w:val="normaltextrun"/>
        </w:rPr>
      </w:pPr>
      <w:r w:rsidRPr="00C209E7">
        <w:rPr>
          <w:rStyle w:val="normaltextrun"/>
        </w:rPr>
        <w:t>Mark Z. Jacobson</w:t>
      </w:r>
      <w:r>
        <w:rPr>
          <w:rStyle w:val="normaltextrun"/>
        </w:rPr>
        <w:t xml:space="preserve"> and</w:t>
      </w:r>
      <w:r w:rsidRPr="00C209E7">
        <w:rPr>
          <w:rStyle w:val="normaltextrun"/>
        </w:rPr>
        <w:t xml:space="preserve"> Vijaysinh Jadhav</w:t>
      </w:r>
      <w:r>
        <w:rPr>
          <w:rStyle w:val="normaltextrun"/>
        </w:rPr>
        <w:t>, “</w:t>
      </w:r>
      <w:r w:rsidRPr="00C209E7">
        <w:rPr>
          <w:rStyle w:val="normaltextrun"/>
        </w:rPr>
        <w:t>World estimates of PV optimal tilt angles and ratios of sunlight incident</w:t>
      </w:r>
      <w:r>
        <w:rPr>
          <w:rStyle w:val="normaltextrun"/>
        </w:rPr>
        <w:t xml:space="preserve"> </w:t>
      </w:r>
      <w:r w:rsidRPr="00C209E7">
        <w:rPr>
          <w:rStyle w:val="normaltextrun"/>
        </w:rPr>
        <w:t>upon tilted and tracked PV panels relative to horizontal panels</w:t>
      </w:r>
      <w:r>
        <w:rPr>
          <w:rStyle w:val="normaltextrun"/>
        </w:rPr>
        <w:t xml:space="preserve">”, </w:t>
      </w:r>
      <w:r w:rsidRPr="00C209E7">
        <w:rPr>
          <w:rStyle w:val="normaltextrun"/>
        </w:rPr>
        <w:t>Solar Energy 169 (2018) 55–66</w:t>
      </w:r>
      <w:r>
        <w:rPr>
          <w:rStyle w:val="normaltextrun"/>
        </w:rPr>
        <w:t xml:space="preserve">, </w:t>
      </w:r>
      <w:hyperlink r:id="rId39" w:history="1">
        <w:r w:rsidRPr="00BC0C57">
          <w:rPr>
            <w:rStyle w:val="Hyperlink"/>
          </w:rPr>
          <w:t>https://doi.org/10.1016/j.solener.2018.04.030</w:t>
        </w:r>
      </w:hyperlink>
      <w:r>
        <w:rPr>
          <w:rStyle w:val="normaltextrun"/>
        </w:rPr>
        <w:t xml:space="preserve">. </w:t>
      </w:r>
    </w:p>
    <w:p w14:paraId="773DCAF0" w14:textId="5D6936DA" w:rsidR="00ED2BC3" w:rsidRDefault="00E119CC" w:rsidP="004F7B53">
      <w:pPr>
        <w:pStyle w:val="references"/>
        <w:rPr>
          <w:rStyle w:val="normaltextrun"/>
        </w:rPr>
      </w:pPr>
      <w:r>
        <w:rPr>
          <w:rStyle w:val="normaltextrun"/>
        </w:rPr>
        <w:t xml:space="preserve">C. </w:t>
      </w:r>
      <w:r w:rsidRPr="00E119CC">
        <w:rPr>
          <w:rStyle w:val="normaltextrun"/>
        </w:rPr>
        <w:t>Breyer</w:t>
      </w:r>
      <w:r>
        <w:rPr>
          <w:rStyle w:val="normaltextrun"/>
        </w:rPr>
        <w:t xml:space="preserve"> and</w:t>
      </w:r>
      <w:r w:rsidRPr="00E119CC">
        <w:rPr>
          <w:rStyle w:val="normaltextrun"/>
        </w:rPr>
        <w:t xml:space="preserve"> </w:t>
      </w:r>
      <w:r>
        <w:rPr>
          <w:rStyle w:val="normaltextrun"/>
        </w:rPr>
        <w:t xml:space="preserve">J. </w:t>
      </w:r>
      <w:r w:rsidRPr="00E119CC">
        <w:rPr>
          <w:rStyle w:val="normaltextrun"/>
        </w:rPr>
        <w:t xml:space="preserve">Schmid, </w:t>
      </w:r>
      <w:r>
        <w:rPr>
          <w:rStyle w:val="normaltextrun"/>
        </w:rPr>
        <w:t>“</w:t>
      </w:r>
      <w:r w:rsidRPr="00E119CC">
        <w:rPr>
          <w:rStyle w:val="normaltextrun"/>
        </w:rPr>
        <w:t>Global distribution of optimal tilt angles for fixed tilted PV</w:t>
      </w:r>
      <w:r>
        <w:rPr>
          <w:rStyle w:val="normaltextrun"/>
        </w:rPr>
        <w:t xml:space="preserve"> </w:t>
      </w:r>
      <w:r w:rsidRPr="00E119CC">
        <w:rPr>
          <w:rStyle w:val="normaltextrun"/>
        </w:rPr>
        <w:t>systems</w:t>
      </w:r>
      <w:r>
        <w:rPr>
          <w:rStyle w:val="normaltextrun"/>
        </w:rPr>
        <w:t xml:space="preserve">”, </w:t>
      </w:r>
      <w:r w:rsidRPr="00E119CC">
        <w:rPr>
          <w:rStyle w:val="normaltextrun"/>
        </w:rPr>
        <w:t xml:space="preserve">25th EU PVSEC/WCPEC-5. </w:t>
      </w:r>
      <w:r>
        <w:rPr>
          <w:rStyle w:val="normaltextrun"/>
        </w:rPr>
        <w:t xml:space="preserve">2010, </w:t>
      </w:r>
      <w:hyperlink r:id="rId40" w:history="1">
        <w:r w:rsidR="00ED2BC3" w:rsidRPr="00BC0C57">
          <w:rPr>
            <w:rStyle w:val="Hyperlink"/>
          </w:rPr>
          <w:t>http://dx.doi.org/10.4229/25thEUPVSEC2010-4BV.1.93</w:t>
        </w:r>
      </w:hyperlink>
      <w:r w:rsidRPr="00E119CC">
        <w:rPr>
          <w:rStyle w:val="normaltextrun"/>
        </w:rPr>
        <w:t>.</w:t>
      </w:r>
    </w:p>
    <w:p w14:paraId="237D5B3F" w14:textId="77777777" w:rsidR="000F2205" w:rsidRDefault="000F2205" w:rsidP="000F2205">
      <w:pPr>
        <w:pStyle w:val="references"/>
      </w:pPr>
      <w:r>
        <w:t xml:space="preserve">California Independent System Operator, "Managing Oversupply," </w:t>
      </w:r>
      <w:hyperlink r:id="rId41" w:history="1">
        <w:r w:rsidRPr="00712E9E">
          <w:rPr>
            <w:rStyle w:val="Hyperlink"/>
          </w:rPr>
          <w:t>http://www.caiso.com/informed/Pages/ManagingOversupply.aspx</w:t>
        </w:r>
      </w:hyperlink>
      <w:r>
        <w:t xml:space="preserve"> . [Accessed 10 May 2021].</w:t>
      </w:r>
    </w:p>
    <w:p w14:paraId="208B6BC8" w14:textId="77777777" w:rsidR="0029255B" w:rsidRDefault="0029255B" w:rsidP="0029255B">
      <w:pPr>
        <w:pStyle w:val="references"/>
        <w:ind w:start="17.70pt" w:hanging="17.70pt"/>
      </w:pPr>
      <w:r>
        <w:t xml:space="preserve">System Advisor Model, National Renewable Energy Laboratory, </w:t>
      </w:r>
      <w:hyperlink r:id="rId42" w:history="1">
        <w:r w:rsidRPr="00015C33">
          <w:rPr>
            <w:rStyle w:val="Hyperlink"/>
          </w:rPr>
          <w:t>https://sam.nrel.gov/</w:t>
        </w:r>
      </w:hyperlink>
      <w:r>
        <w:t xml:space="preserve"> </w:t>
      </w:r>
    </w:p>
    <w:p w14:paraId="5AA11546" w14:textId="77777777" w:rsidR="0059699F" w:rsidRDefault="0059699F" w:rsidP="0059699F">
      <w:pPr>
        <w:pStyle w:val="references"/>
        <w:ind w:start="17.70pt" w:hanging="17.70pt"/>
      </w:pPr>
      <w:r>
        <w:t xml:space="preserve">Arizona Solar Center, website, “PV Row to Row Spacing”, </w:t>
      </w:r>
      <w:hyperlink r:id="rId43" w:history="1">
        <w:r w:rsidRPr="0065496D">
          <w:rPr>
            <w:rStyle w:val="Hyperlink"/>
          </w:rPr>
          <w:t>https://azsolarcenter.org/pv-row-to-row-spacing</w:t>
        </w:r>
      </w:hyperlink>
      <w:r>
        <w:t>.</w:t>
      </w:r>
    </w:p>
    <w:p w14:paraId="12E405F9" w14:textId="77777777" w:rsidR="000F2205" w:rsidRDefault="000F2205" w:rsidP="000F2205">
      <w:pPr>
        <w:pStyle w:val="references"/>
        <w:ind w:start="17.70pt" w:hanging="17.70pt"/>
      </w:pPr>
      <w:r>
        <w:t xml:space="preserve">California Energy Commission, </w:t>
      </w:r>
      <w:r w:rsidRPr="00BD4AB2">
        <w:t xml:space="preserve">California Solar Energy Statistics </w:t>
      </w:r>
      <w:r>
        <w:t>&amp;</w:t>
      </w:r>
      <w:r w:rsidRPr="00BD4AB2">
        <w:t>Data</w:t>
      </w:r>
      <w:r>
        <w:t xml:space="preserve">, </w:t>
      </w:r>
      <w:hyperlink r:id="rId44" w:history="1">
        <w:r w:rsidRPr="0065496D">
          <w:rPr>
            <w:rStyle w:val="Hyperlink"/>
          </w:rPr>
          <w:t>https://ww2.energy.ca.gov/almanac/renewables_data/solar/index_cms.php</w:t>
        </w:r>
      </w:hyperlink>
      <w:r>
        <w:t xml:space="preserve"> </w:t>
      </w:r>
    </w:p>
    <w:p w14:paraId="70E56025" w14:textId="77777777" w:rsidR="00881440" w:rsidRDefault="00881440" w:rsidP="00881440">
      <w:pPr>
        <w:pStyle w:val="references"/>
        <w:ind w:start="17.70pt" w:hanging="17.70pt"/>
      </w:pPr>
      <w:r>
        <w:t xml:space="preserve">Sengupta, M., Y. Xie, A. Lopez, A. Habte, G. Maclaurin, and J. Shelby. 2018. </w:t>
      </w:r>
      <w:hyperlink r:id="rId45" w:history="1">
        <w:r>
          <w:rPr>
            <w:rStyle w:val="Hyperlink"/>
          </w:rPr>
          <w:t>"The National Solar Radiation Data Base (NSRDB)."</w:t>
        </w:r>
      </w:hyperlink>
      <w:r>
        <w:t xml:space="preserve"> </w:t>
      </w:r>
      <w:r>
        <w:rPr>
          <w:rStyle w:val="Emphasis"/>
        </w:rPr>
        <w:t>Renewable and Sustainable Energy Reviews </w:t>
      </w:r>
      <w:r>
        <w:t xml:space="preserve"> 89 (June): 51-60.</w:t>
      </w:r>
    </w:p>
    <w:p w14:paraId="20860F6D" w14:textId="6E902AE3" w:rsidR="00903A40" w:rsidRDefault="00903A40" w:rsidP="00903A40">
      <w:pPr>
        <w:pStyle w:val="references"/>
      </w:pPr>
      <w:r>
        <w:t xml:space="preserve">David Feldman, Vignesh Ramasamy, Ran Fu, Ashwin Ramdas, Jal Desai, and Robert Margolis, “U.S. Solar Photovoltaic System and Energy Storage Cost Benchmark: Q1 2020”, National Renewable Energy Laboratory, Report No. </w:t>
      </w:r>
      <w:r w:rsidRPr="00903A40">
        <w:t>NREL/TP-6A20-77324</w:t>
      </w:r>
      <w:r>
        <w:t>, January 2021.</w:t>
      </w:r>
    </w:p>
    <w:p w14:paraId="2BCA4731" w14:textId="350CFCA8" w:rsidR="009B3DC0" w:rsidRDefault="009B3DC0" w:rsidP="00903A40">
      <w:pPr>
        <w:pStyle w:val="references"/>
      </w:pPr>
      <w:r>
        <w:t>A</w:t>
      </w:r>
      <w:r w:rsidR="00D269EB">
        <w:t xml:space="preserve">nnual Technology Baseline, Natonal Renewable Energy Laboratory, </w:t>
      </w:r>
      <w:hyperlink r:id="rId46" w:history="1">
        <w:r w:rsidR="00D269EB" w:rsidRPr="00E91561">
          <w:rPr>
            <w:rStyle w:val="Hyperlink"/>
          </w:rPr>
          <w:t>https://atb.nrel.gov/electricity/2021/data</w:t>
        </w:r>
      </w:hyperlink>
      <w:r w:rsidR="00D7005C">
        <w:rPr>
          <w:rStyle w:val="Hyperlink"/>
        </w:rPr>
        <w:t>, retrieved October 15, 2021.</w:t>
      </w:r>
      <w:r w:rsidR="00D269EB">
        <w:t xml:space="preserve"> </w:t>
      </w:r>
    </w:p>
    <w:p w14:paraId="74FBF681" w14:textId="14E4E240" w:rsidR="00186F9C" w:rsidRDefault="00186F9C" w:rsidP="00186F9C">
      <w:pPr>
        <w:pStyle w:val="references"/>
        <w:rPr>
          <w:rStyle w:val="normaltextrun"/>
        </w:rPr>
      </w:pPr>
      <w:r w:rsidRPr="00D02E43">
        <w:rPr>
          <w:rStyle w:val="normaltextrun"/>
        </w:rPr>
        <w:t>Noah Kittner, Sergio Castellanos, Patricia Hidalgo-Gonzalez,</w:t>
      </w:r>
      <w:r>
        <w:rPr>
          <w:rStyle w:val="normaltextrun"/>
        </w:rPr>
        <w:t xml:space="preserve"> </w:t>
      </w:r>
      <w:r w:rsidRPr="00D02E43">
        <w:rPr>
          <w:rStyle w:val="normaltextrun"/>
        </w:rPr>
        <w:t xml:space="preserve">Daniel M. Q4 Kammen, and Sarah Kurtz, </w:t>
      </w:r>
      <w:r>
        <w:rPr>
          <w:rStyle w:val="normaltextrun"/>
        </w:rPr>
        <w:t>“</w:t>
      </w:r>
      <w:r w:rsidRPr="00D02E43">
        <w:rPr>
          <w:rStyle w:val="normaltextrun"/>
        </w:rPr>
        <w:t>Cross-sector storage and modeling needed for deep decarbonization,</w:t>
      </w:r>
      <w:r>
        <w:rPr>
          <w:rStyle w:val="normaltextrun"/>
        </w:rPr>
        <w:t>”</w:t>
      </w:r>
      <w:r w:rsidRPr="00D02E43">
        <w:rPr>
          <w:rStyle w:val="normaltextrun"/>
        </w:rPr>
        <w:t xml:space="preserve"> Joule (2021), </w:t>
      </w:r>
      <w:hyperlink r:id="rId47" w:history="1">
        <w:r w:rsidRPr="00712E9E">
          <w:rPr>
            <w:rStyle w:val="Hyperlink"/>
          </w:rPr>
          <w:t>https://doi.org/10.1016/j.joule.2021.09.003</w:t>
        </w:r>
      </w:hyperlink>
      <w:r>
        <w:rPr>
          <w:rStyle w:val="normaltextrun"/>
        </w:rPr>
        <w:t xml:space="preserve"> </w:t>
      </w:r>
    </w:p>
    <w:p w14:paraId="733F73F8" w14:textId="2C51543C" w:rsidR="00BB3A80" w:rsidRPr="00BB3A80" w:rsidRDefault="00BB3A80" w:rsidP="009B249B">
      <w:pPr>
        <w:pStyle w:val="references"/>
        <w:rPr>
          <w:rStyle w:val="normaltextrun"/>
        </w:rPr>
      </w:pPr>
      <w:r w:rsidRPr="00BB3A80">
        <w:rPr>
          <w:rStyle w:val="normaltextrun"/>
        </w:rPr>
        <w:t>Zabir Mahmud, Kenji Shiraishi, Mahmoud Y. Abido, Dev Millstein, P. A. Sánchez-Pérez, and S. Kurtz</w:t>
      </w:r>
      <w:r>
        <w:rPr>
          <w:rStyle w:val="normaltextrun"/>
        </w:rPr>
        <w:t>, “</w:t>
      </w:r>
      <w:r w:rsidRPr="00BB3A80">
        <w:rPr>
          <w:rStyle w:val="normaltextrun"/>
        </w:rPr>
        <w:t>Geographical Variability of Summer- and Winter-dominant Onshore Wind</w:t>
      </w:r>
      <w:r>
        <w:rPr>
          <w:rStyle w:val="normaltextrun"/>
        </w:rPr>
        <w:t xml:space="preserve">”, </w:t>
      </w:r>
      <w:r w:rsidRPr="00BB3A80">
        <w:rPr>
          <w:rStyle w:val="normaltextrun"/>
        </w:rPr>
        <w:t>Renewable and Sustainable Energy</w:t>
      </w:r>
      <w:r>
        <w:rPr>
          <w:rStyle w:val="normaltextrun"/>
        </w:rPr>
        <w:t xml:space="preserve"> (submitted for publication).</w:t>
      </w:r>
    </w:p>
    <w:p w14:paraId="738BFAEF" w14:textId="6930A51F" w:rsidR="00BB36D7" w:rsidRDefault="00BB36D7" w:rsidP="00BB36D7">
      <w:pPr>
        <w:pStyle w:val="references"/>
        <w:rPr>
          <w:rStyle w:val="normaltextrun"/>
        </w:rPr>
      </w:pPr>
      <w:r>
        <w:rPr>
          <w:rStyle w:val="normaltextrun"/>
        </w:rPr>
        <w:t>“</w:t>
      </w:r>
      <w:r w:rsidRPr="00BB36D7">
        <w:rPr>
          <w:rStyle w:val="normaltextrun"/>
        </w:rPr>
        <w:t>Pricing structures</w:t>
      </w:r>
      <w:r>
        <w:rPr>
          <w:rStyle w:val="normaltextrun"/>
        </w:rPr>
        <w:t xml:space="preserve"> </w:t>
      </w:r>
      <w:r w:rsidRPr="00BB36D7">
        <w:rPr>
          <w:rStyle w:val="normaltextrun"/>
        </w:rPr>
        <w:t>for corporate</w:t>
      </w:r>
      <w:r>
        <w:rPr>
          <w:rStyle w:val="normaltextrun"/>
        </w:rPr>
        <w:t xml:space="preserve"> </w:t>
      </w:r>
      <w:r w:rsidRPr="00BB36D7">
        <w:rPr>
          <w:rStyle w:val="normaltextrun"/>
        </w:rPr>
        <w:t>renewable PPAs</w:t>
      </w:r>
      <w:r>
        <w:rPr>
          <w:rStyle w:val="normaltextrun"/>
        </w:rPr>
        <w:t xml:space="preserve">”, </w:t>
      </w:r>
      <w:r w:rsidRPr="00BB36D7">
        <w:rPr>
          <w:rStyle w:val="normaltextrun"/>
        </w:rPr>
        <w:t>World</w:t>
      </w:r>
      <w:r>
        <w:rPr>
          <w:rStyle w:val="normaltextrun"/>
        </w:rPr>
        <w:t xml:space="preserve"> </w:t>
      </w:r>
      <w:r w:rsidRPr="00BB36D7">
        <w:rPr>
          <w:rStyle w:val="normaltextrun"/>
        </w:rPr>
        <w:t>Business Coun</w:t>
      </w:r>
      <w:r>
        <w:rPr>
          <w:rStyle w:val="normaltextrun"/>
        </w:rPr>
        <w:t xml:space="preserve">cil </w:t>
      </w:r>
      <w:r w:rsidRPr="00BB36D7">
        <w:rPr>
          <w:rStyle w:val="normaltextrun"/>
        </w:rPr>
        <w:t>for Sustainable Development (WBCSD)</w:t>
      </w:r>
      <w:r>
        <w:rPr>
          <w:rStyle w:val="normaltextrun"/>
        </w:rPr>
        <w:t>, 2021</w:t>
      </w:r>
    </w:p>
    <w:p w14:paraId="0C4F1929" w14:textId="77777777" w:rsidR="00760A7A" w:rsidRDefault="00760A7A" w:rsidP="00C46DEF">
      <w:pPr>
        <w:pStyle w:val="references"/>
        <w:numPr>
          <w:ilvl w:val="0"/>
          <w:numId w:val="0"/>
        </w:numPr>
        <w:rPr>
          <w:rFonts w:eastAsia="SimSun"/>
          <w:b/>
          <w:noProof w:val="0"/>
          <w:color w:val="FF0000"/>
          <w:spacing w:val="-1"/>
          <w:sz w:val="20"/>
          <w:szCs w:val="20"/>
          <w:lang w:eastAsia="x-none"/>
        </w:rPr>
      </w:pPr>
    </w:p>
    <w:p w14:paraId="165A9895" w14:textId="2BACD56A" w:rsidR="00760A7A" w:rsidRPr="00760A7A" w:rsidRDefault="00760A7A" w:rsidP="00760A7A">
      <w:pPr>
        <w:pStyle w:val="BodyText"/>
        <w:rPr>
          <w:lang w:val="en-US"/>
        </w:rPr>
        <w:sectPr w:rsidR="00760A7A" w:rsidRPr="00760A7A" w:rsidSect="00C919A4">
          <w:type w:val="continuous"/>
          <w:pgSz w:w="612pt" w:h="792pt" w:code="1"/>
          <w:pgMar w:top="54pt" w:right="45.35pt" w:bottom="72pt" w:left="45.35pt" w:header="36pt" w:footer="36pt" w:gutter="0pt"/>
          <w:cols w:num="2" w:space="18pt"/>
          <w:docGrid w:linePitch="360"/>
        </w:sectPr>
      </w:pPr>
    </w:p>
    <w:p w14:paraId="3EB0BDFF" w14:textId="77777777" w:rsidR="009303D9" w:rsidRPr="00A356A6" w:rsidRDefault="009303D9" w:rsidP="0050622E">
      <w:pPr>
        <w:ind w:firstLine="0pt"/>
      </w:pPr>
    </w:p>
    <w:sectPr w:rsidR="009303D9" w:rsidRPr="00A356A6">
      <w:type w:val="continuous"/>
      <w:pgSz w:w="612pt" w:h="792pt" w:code="1"/>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7875BC72" w14:textId="77777777" w:rsidR="00D26A30" w:rsidRDefault="00D26A30" w:rsidP="000652EF">
      <w:r>
        <w:separator/>
      </w:r>
    </w:p>
  </w:endnote>
  <w:endnote w:type="continuationSeparator" w:id="0">
    <w:p w14:paraId="3083BB1D" w14:textId="77777777" w:rsidR="00D26A30" w:rsidRDefault="00D26A30" w:rsidP="000652EF">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altName w:val="Times New Roman PS"/>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2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Arial">
    <w:altName w:val="Arial"/>
    <w:panose1 w:val="020B0604020202020204"/>
    <w:charset w:characterSet="iso-8859-1"/>
    <w:family w:val="swiss"/>
    <w:pitch w:val="variable"/>
    <w:sig w:usb0="E0002EFF" w:usb1="C000785B" w:usb2="00000009" w:usb3="00000000" w:csb0="000001FF" w:csb1="00000000"/>
  </w:font>
  <w:font w:name="Cambria Math">
    <w:panose1 w:val="02040503050406030204"/>
    <w:charset w:characterSet="iso-8859-1"/>
    <w:family w:val="roman"/>
    <w:pitch w:val="variable"/>
    <w:sig w:usb0="E00006FF" w:usb1="420024FF" w:usb2="02000000" w:usb3="00000000" w:csb0="0000019F" w:csb1="00000000"/>
  </w:font>
  <w:font w:name="Calibri Light">
    <w:panose1 w:val="020F0302020204030204"/>
    <w:charset w:characterSet="iso-8859-1"/>
    <w:family w:val="swiss"/>
    <w:pitch w:val="variable"/>
    <w:sig w:usb0="E4002EFF" w:usb1="C000247B" w:usb2="00000009" w:usb3="00000000" w:csb0="000001FF" w:csb1="00000000"/>
  </w:font>
  <w:font w:name="Calibri">
    <w:altName w:val="Calibri"/>
    <w:panose1 w:val="020F05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1D96718" w14:textId="77777777" w:rsidR="004B1144" w:rsidRDefault="004B1144">
    <w:pPr>
      <w:pStyle w:val="Foote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1E684B1" w14:textId="77777777" w:rsidR="004B1144" w:rsidRDefault="004B1144">
    <w:pPr>
      <w:pStyle w:val="Foote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AD33DF0" w14:textId="47D5CC1E" w:rsidR="001A3B3D" w:rsidRPr="004B1144" w:rsidRDefault="001A3B3D" w:rsidP="004B1144">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0165F05" w14:textId="77777777" w:rsidR="00D26A30" w:rsidRDefault="00D26A30" w:rsidP="000652EF">
      <w:r>
        <w:separator/>
      </w:r>
    </w:p>
  </w:footnote>
  <w:footnote w:type="continuationSeparator" w:id="0">
    <w:p w14:paraId="6694F7D6" w14:textId="77777777" w:rsidR="00D26A30" w:rsidRDefault="00D26A30" w:rsidP="000652EF">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26F6025" w14:textId="77777777" w:rsidR="004B1144" w:rsidRDefault="004B1144">
    <w:pPr>
      <w:pStyle w:val="Heade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B98B50C" w14:textId="77777777" w:rsidR="004B1144" w:rsidRDefault="004B1144">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68283C0" w14:textId="77777777" w:rsidR="004B1144" w:rsidRDefault="004B1144">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F0B86B82"/>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D2D23B4A"/>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DB92F8F0"/>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BC48BC8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D5141D3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C8CCF636"/>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ABADB9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D3DAF0C6"/>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4676957A"/>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9286C6D8"/>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0A191BD9"/>
    <w:multiLevelType w:val="hybridMultilevel"/>
    <w:tmpl w:val="FD067C78"/>
    <w:lvl w:ilvl="0" w:tplc="04090001">
      <w:start w:val="1"/>
      <w:numFmt w:val="bullet"/>
      <w:lvlText w:val=""/>
      <w:lvlJc w:val="start"/>
      <w:pPr>
        <w:ind w:start="50.40pt" w:hanging="18pt"/>
      </w:pPr>
      <w:rPr>
        <w:rFonts w:ascii="Symbol" w:hAnsi="Symbol" w:hint="default"/>
      </w:rPr>
    </w:lvl>
    <w:lvl w:ilvl="1" w:tplc="04090003" w:tentative="1">
      <w:start w:val="1"/>
      <w:numFmt w:val="bullet"/>
      <w:lvlText w:val="o"/>
      <w:lvlJc w:val="start"/>
      <w:pPr>
        <w:ind w:start="86.40pt" w:hanging="18pt"/>
      </w:pPr>
      <w:rPr>
        <w:rFonts w:ascii="Courier New" w:hAnsi="Courier New" w:cs="Courier New" w:hint="default"/>
      </w:rPr>
    </w:lvl>
    <w:lvl w:ilvl="2" w:tplc="04090005" w:tentative="1">
      <w:start w:val="1"/>
      <w:numFmt w:val="bullet"/>
      <w:lvlText w:val=""/>
      <w:lvlJc w:val="start"/>
      <w:pPr>
        <w:ind w:start="122.40pt" w:hanging="18pt"/>
      </w:pPr>
      <w:rPr>
        <w:rFonts w:ascii="Wingdings" w:hAnsi="Wingdings" w:hint="default"/>
      </w:rPr>
    </w:lvl>
    <w:lvl w:ilvl="3" w:tplc="04090001" w:tentative="1">
      <w:start w:val="1"/>
      <w:numFmt w:val="bullet"/>
      <w:lvlText w:val=""/>
      <w:lvlJc w:val="start"/>
      <w:pPr>
        <w:ind w:start="158.40pt" w:hanging="18pt"/>
      </w:pPr>
      <w:rPr>
        <w:rFonts w:ascii="Symbol" w:hAnsi="Symbol" w:hint="default"/>
      </w:rPr>
    </w:lvl>
    <w:lvl w:ilvl="4" w:tplc="04090003" w:tentative="1">
      <w:start w:val="1"/>
      <w:numFmt w:val="bullet"/>
      <w:lvlText w:val="o"/>
      <w:lvlJc w:val="start"/>
      <w:pPr>
        <w:ind w:start="194.40pt" w:hanging="18pt"/>
      </w:pPr>
      <w:rPr>
        <w:rFonts w:ascii="Courier New" w:hAnsi="Courier New" w:cs="Courier New" w:hint="default"/>
      </w:rPr>
    </w:lvl>
    <w:lvl w:ilvl="5" w:tplc="04090005" w:tentative="1">
      <w:start w:val="1"/>
      <w:numFmt w:val="bullet"/>
      <w:lvlText w:val=""/>
      <w:lvlJc w:val="start"/>
      <w:pPr>
        <w:ind w:start="230.40pt" w:hanging="18pt"/>
      </w:pPr>
      <w:rPr>
        <w:rFonts w:ascii="Wingdings" w:hAnsi="Wingdings" w:hint="default"/>
      </w:rPr>
    </w:lvl>
    <w:lvl w:ilvl="6" w:tplc="04090001" w:tentative="1">
      <w:start w:val="1"/>
      <w:numFmt w:val="bullet"/>
      <w:lvlText w:val=""/>
      <w:lvlJc w:val="start"/>
      <w:pPr>
        <w:ind w:start="266.40pt" w:hanging="18pt"/>
      </w:pPr>
      <w:rPr>
        <w:rFonts w:ascii="Symbol" w:hAnsi="Symbol" w:hint="default"/>
      </w:rPr>
    </w:lvl>
    <w:lvl w:ilvl="7" w:tplc="04090003" w:tentative="1">
      <w:start w:val="1"/>
      <w:numFmt w:val="bullet"/>
      <w:lvlText w:val="o"/>
      <w:lvlJc w:val="start"/>
      <w:pPr>
        <w:ind w:start="302.40pt" w:hanging="18pt"/>
      </w:pPr>
      <w:rPr>
        <w:rFonts w:ascii="Courier New" w:hAnsi="Courier New" w:cs="Courier New" w:hint="default"/>
      </w:rPr>
    </w:lvl>
    <w:lvl w:ilvl="8" w:tplc="04090005" w:tentative="1">
      <w:start w:val="1"/>
      <w:numFmt w:val="bullet"/>
      <w:lvlText w:val=""/>
      <w:lvlJc w:val="start"/>
      <w:pPr>
        <w:ind w:start="338.40pt" w:hanging="18pt"/>
      </w:pPr>
      <w:rPr>
        <w:rFonts w:ascii="Wingdings" w:hAnsi="Wingdings" w:hint="default"/>
      </w:rPr>
    </w:lvl>
  </w:abstractNum>
  <w:abstractNum w:abstractNumId="12"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3"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259E47F5"/>
    <w:multiLevelType w:val="hybridMultilevel"/>
    <w:tmpl w:val="44AA7F82"/>
    <w:lvl w:ilvl="0" w:tplc="3DB0FF2A">
      <w:start w:val="1"/>
      <w:numFmt w:val="decimal"/>
      <w:pStyle w:val="Subtitle"/>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5"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6" w15:restartNumberingAfterBreak="0">
    <w:nsid w:val="2B3C5F17"/>
    <w:multiLevelType w:val="hybridMultilevel"/>
    <w:tmpl w:val="6EECE0A8"/>
    <w:lvl w:ilvl="0" w:tplc="04090001">
      <w:start w:val="1"/>
      <w:numFmt w:val="bullet"/>
      <w:lvlText w:val=""/>
      <w:lvlJc w:val="start"/>
      <w:pPr>
        <w:ind w:start="32.40pt" w:hanging="18pt"/>
      </w:pPr>
      <w:rPr>
        <w:rFonts w:ascii="Symbol" w:hAnsi="Symbol" w:hint="default"/>
      </w:rPr>
    </w:lvl>
    <w:lvl w:ilvl="1" w:tplc="04090003" w:tentative="1">
      <w:start w:val="1"/>
      <w:numFmt w:val="bullet"/>
      <w:lvlText w:val="o"/>
      <w:lvlJc w:val="start"/>
      <w:pPr>
        <w:ind w:start="68.40pt" w:hanging="18pt"/>
      </w:pPr>
      <w:rPr>
        <w:rFonts w:ascii="Courier New" w:hAnsi="Courier New" w:cs="Courier New" w:hint="default"/>
      </w:rPr>
    </w:lvl>
    <w:lvl w:ilvl="2" w:tplc="04090005" w:tentative="1">
      <w:start w:val="1"/>
      <w:numFmt w:val="bullet"/>
      <w:lvlText w:val=""/>
      <w:lvlJc w:val="start"/>
      <w:pPr>
        <w:ind w:start="104.40pt" w:hanging="18pt"/>
      </w:pPr>
      <w:rPr>
        <w:rFonts w:ascii="Wingdings" w:hAnsi="Wingdings" w:hint="default"/>
      </w:rPr>
    </w:lvl>
    <w:lvl w:ilvl="3" w:tplc="04090001" w:tentative="1">
      <w:start w:val="1"/>
      <w:numFmt w:val="bullet"/>
      <w:lvlText w:val=""/>
      <w:lvlJc w:val="start"/>
      <w:pPr>
        <w:ind w:start="140.40pt" w:hanging="18pt"/>
      </w:pPr>
      <w:rPr>
        <w:rFonts w:ascii="Symbol" w:hAnsi="Symbol" w:hint="default"/>
      </w:rPr>
    </w:lvl>
    <w:lvl w:ilvl="4" w:tplc="04090003" w:tentative="1">
      <w:start w:val="1"/>
      <w:numFmt w:val="bullet"/>
      <w:lvlText w:val="o"/>
      <w:lvlJc w:val="start"/>
      <w:pPr>
        <w:ind w:start="176.40pt" w:hanging="18pt"/>
      </w:pPr>
      <w:rPr>
        <w:rFonts w:ascii="Courier New" w:hAnsi="Courier New" w:cs="Courier New" w:hint="default"/>
      </w:rPr>
    </w:lvl>
    <w:lvl w:ilvl="5" w:tplc="04090005" w:tentative="1">
      <w:start w:val="1"/>
      <w:numFmt w:val="bullet"/>
      <w:lvlText w:val=""/>
      <w:lvlJc w:val="start"/>
      <w:pPr>
        <w:ind w:start="212.40pt" w:hanging="18pt"/>
      </w:pPr>
      <w:rPr>
        <w:rFonts w:ascii="Wingdings" w:hAnsi="Wingdings" w:hint="default"/>
      </w:rPr>
    </w:lvl>
    <w:lvl w:ilvl="6" w:tplc="04090001" w:tentative="1">
      <w:start w:val="1"/>
      <w:numFmt w:val="bullet"/>
      <w:lvlText w:val=""/>
      <w:lvlJc w:val="start"/>
      <w:pPr>
        <w:ind w:start="248.40pt" w:hanging="18pt"/>
      </w:pPr>
      <w:rPr>
        <w:rFonts w:ascii="Symbol" w:hAnsi="Symbol" w:hint="default"/>
      </w:rPr>
    </w:lvl>
    <w:lvl w:ilvl="7" w:tplc="04090003" w:tentative="1">
      <w:start w:val="1"/>
      <w:numFmt w:val="bullet"/>
      <w:lvlText w:val="o"/>
      <w:lvlJc w:val="start"/>
      <w:pPr>
        <w:ind w:start="284.40pt" w:hanging="18pt"/>
      </w:pPr>
      <w:rPr>
        <w:rFonts w:ascii="Courier New" w:hAnsi="Courier New" w:cs="Courier New" w:hint="default"/>
      </w:rPr>
    </w:lvl>
    <w:lvl w:ilvl="8" w:tplc="04090005" w:tentative="1">
      <w:start w:val="1"/>
      <w:numFmt w:val="bullet"/>
      <w:lvlText w:val=""/>
      <w:lvlJc w:val="start"/>
      <w:pPr>
        <w:ind w:start="320.40pt" w:hanging="18pt"/>
      </w:pPr>
      <w:rPr>
        <w:rFonts w:ascii="Wingdings" w:hAnsi="Wingdings" w:hint="default"/>
      </w:rPr>
    </w:lvl>
  </w:abstractNum>
  <w:abstractNum w:abstractNumId="17"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8"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9" w15:restartNumberingAfterBreak="0">
    <w:nsid w:val="4189603E"/>
    <w:multiLevelType w:val="multilevel"/>
    <w:tmpl w:val="93AEF168"/>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36pt"/>
        </w:tabs>
        <w:ind w:start="32.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20"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1"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22" w15:restartNumberingAfterBreak="0">
    <w:nsid w:val="68A12DC5"/>
    <w:multiLevelType w:val="hybridMultilevel"/>
    <w:tmpl w:val="20AA9B12"/>
    <w:lvl w:ilvl="0" w:tplc="0409000F">
      <w:start w:val="1"/>
      <w:numFmt w:val="decimal"/>
      <w:lvlText w:val="%1."/>
      <w:lvlJc w:val="start"/>
      <w:pPr>
        <w:ind w:start="50.40pt" w:hanging="18pt"/>
      </w:pPr>
    </w:lvl>
    <w:lvl w:ilvl="1" w:tplc="04090019" w:tentative="1">
      <w:start w:val="1"/>
      <w:numFmt w:val="lowerLetter"/>
      <w:lvlText w:val="%2."/>
      <w:lvlJc w:val="start"/>
      <w:pPr>
        <w:ind w:start="86.40pt" w:hanging="18pt"/>
      </w:pPr>
    </w:lvl>
    <w:lvl w:ilvl="2" w:tplc="0409001B" w:tentative="1">
      <w:start w:val="1"/>
      <w:numFmt w:val="lowerRoman"/>
      <w:lvlText w:val="%3."/>
      <w:lvlJc w:val="end"/>
      <w:pPr>
        <w:ind w:start="122.40pt" w:hanging="9pt"/>
      </w:pPr>
    </w:lvl>
    <w:lvl w:ilvl="3" w:tplc="0409000F" w:tentative="1">
      <w:start w:val="1"/>
      <w:numFmt w:val="decimal"/>
      <w:lvlText w:val="%4."/>
      <w:lvlJc w:val="start"/>
      <w:pPr>
        <w:ind w:start="158.40pt" w:hanging="18pt"/>
      </w:pPr>
    </w:lvl>
    <w:lvl w:ilvl="4" w:tplc="04090019" w:tentative="1">
      <w:start w:val="1"/>
      <w:numFmt w:val="lowerLetter"/>
      <w:lvlText w:val="%5."/>
      <w:lvlJc w:val="start"/>
      <w:pPr>
        <w:ind w:start="194.40pt" w:hanging="18pt"/>
      </w:pPr>
    </w:lvl>
    <w:lvl w:ilvl="5" w:tplc="0409001B" w:tentative="1">
      <w:start w:val="1"/>
      <w:numFmt w:val="lowerRoman"/>
      <w:lvlText w:val="%6."/>
      <w:lvlJc w:val="end"/>
      <w:pPr>
        <w:ind w:start="230.40pt" w:hanging="9pt"/>
      </w:pPr>
    </w:lvl>
    <w:lvl w:ilvl="6" w:tplc="0409000F" w:tentative="1">
      <w:start w:val="1"/>
      <w:numFmt w:val="decimal"/>
      <w:lvlText w:val="%7."/>
      <w:lvlJc w:val="start"/>
      <w:pPr>
        <w:ind w:start="266.40pt" w:hanging="18pt"/>
      </w:pPr>
    </w:lvl>
    <w:lvl w:ilvl="7" w:tplc="04090019" w:tentative="1">
      <w:start w:val="1"/>
      <w:numFmt w:val="lowerLetter"/>
      <w:lvlText w:val="%8."/>
      <w:lvlJc w:val="start"/>
      <w:pPr>
        <w:ind w:start="302.40pt" w:hanging="18pt"/>
      </w:pPr>
    </w:lvl>
    <w:lvl w:ilvl="8" w:tplc="0409001B" w:tentative="1">
      <w:start w:val="1"/>
      <w:numFmt w:val="lowerRoman"/>
      <w:lvlText w:val="%9."/>
      <w:lvlJc w:val="end"/>
      <w:pPr>
        <w:ind w:start="338.40pt" w:hanging="9pt"/>
      </w:pPr>
    </w:lvl>
  </w:abstractNum>
  <w:abstractNum w:abstractNumId="23" w15:restartNumberingAfterBreak="0">
    <w:nsid w:val="6B8219B5"/>
    <w:multiLevelType w:val="hybridMultilevel"/>
    <w:tmpl w:val="C1A443E8"/>
    <w:lvl w:ilvl="0" w:tplc="04090001">
      <w:start w:val="1"/>
      <w:numFmt w:val="bullet"/>
      <w:lvlText w:val=""/>
      <w:lvlJc w:val="start"/>
      <w:pPr>
        <w:ind w:start="18pt" w:hanging="18pt"/>
      </w:pPr>
      <w:rPr>
        <w:rFonts w:ascii="Symbol" w:hAnsi="Symbol" w:hint="default"/>
      </w:rPr>
    </w:lvl>
    <w:lvl w:ilvl="1" w:tplc="04090003" w:tentative="1">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abstractNum w:abstractNumId="24"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5"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abstractNum w:abstractNumId="26" w15:restartNumberingAfterBreak="0">
    <w:nsid w:val="7A851136"/>
    <w:multiLevelType w:val="hybridMultilevel"/>
    <w:tmpl w:val="32EE1AE6"/>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7D916718"/>
    <w:multiLevelType w:val="hybridMultilevel"/>
    <w:tmpl w:val="981E27B4"/>
    <w:lvl w:ilvl="0" w:tplc="04090001">
      <w:start w:val="1"/>
      <w:numFmt w:val="bullet"/>
      <w:lvlText w:val=""/>
      <w:lvlJc w:val="start"/>
      <w:pPr>
        <w:ind w:start="50.40pt" w:hanging="18pt"/>
      </w:pPr>
      <w:rPr>
        <w:rFonts w:ascii="Symbol" w:hAnsi="Symbol" w:hint="default"/>
      </w:rPr>
    </w:lvl>
    <w:lvl w:ilvl="1" w:tplc="04090003" w:tentative="1">
      <w:start w:val="1"/>
      <w:numFmt w:val="bullet"/>
      <w:lvlText w:val="o"/>
      <w:lvlJc w:val="start"/>
      <w:pPr>
        <w:ind w:start="86.40pt" w:hanging="18pt"/>
      </w:pPr>
      <w:rPr>
        <w:rFonts w:ascii="Courier New" w:hAnsi="Courier New" w:cs="Courier New" w:hint="default"/>
      </w:rPr>
    </w:lvl>
    <w:lvl w:ilvl="2" w:tplc="04090005" w:tentative="1">
      <w:start w:val="1"/>
      <w:numFmt w:val="bullet"/>
      <w:lvlText w:val=""/>
      <w:lvlJc w:val="start"/>
      <w:pPr>
        <w:ind w:start="122.40pt" w:hanging="18pt"/>
      </w:pPr>
      <w:rPr>
        <w:rFonts w:ascii="Wingdings" w:hAnsi="Wingdings" w:hint="default"/>
      </w:rPr>
    </w:lvl>
    <w:lvl w:ilvl="3" w:tplc="04090001" w:tentative="1">
      <w:start w:val="1"/>
      <w:numFmt w:val="bullet"/>
      <w:lvlText w:val=""/>
      <w:lvlJc w:val="start"/>
      <w:pPr>
        <w:ind w:start="158.40pt" w:hanging="18pt"/>
      </w:pPr>
      <w:rPr>
        <w:rFonts w:ascii="Symbol" w:hAnsi="Symbol" w:hint="default"/>
      </w:rPr>
    </w:lvl>
    <w:lvl w:ilvl="4" w:tplc="04090003" w:tentative="1">
      <w:start w:val="1"/>
      <w:numFmt w:val="bullet"/>
      <w:lvlText w:val="o"/>
      <w:lvlJc w:val="start"/>
      <w:pPr>
        <w:ind w:start="194.40pt" w:hanging="18pt"/>
      </w:pPr>
      <w:rPr>
        <w:rFonts w:ascii="Courier New" w:hAnsi="Courier New" w:cs="Courier New" w:hint="default"/>
      </w:rPr>
    </w:lvl>
    <w:lvl w:ilvl="5" w:tplc="04090005" w:tentative="1">
      <w:start w:val="1"/>
      <w:numFmt w:val="bullet"/>
      <w:lvlText w:val=""/>
      <w:lvlJc w:val="start"/>
      <w:pPr>
        <w:ind w:start="230.40pt" w:hanging="18pt"/>
      </w:pPr>
      <w:rPr>
        <w:rFonts w:ascii="Wingdings" w:hAnsi="Wingdings" w:hint="default"/>
      </w:rPr>
    </w:lvl>
    <w:lvl w:ilvl="6" w:tplc="04090001" w:tentative="1">
      <w:start w:val="1"/>
      <w:numFmt w:val="bullet"/>
      <w:lvlText w:val=""/>
      <w:lvlJc w:val="start"/>
      <w:pPr>
        <w:ind w:start="266.40pt" w:hanging="18pt"/>
      </w:pPr>
      <w:rPr>
        <w:rFonts w:ascii="Symbol" w:hAnsi="Symbol" w:hint="default"/>
      </w:rPr>
    </w:lvl>
    <w:lvl w:ilvl="7" w:tplc="04090003" w:tentative="1">
      <w:start w:val="1"/>
      <w:numFmt w:val="bullet"/>
      <w:lvlText w:val="o"/>
      <w:lvlJc w:val="start"/>
      <w:pPr>
        <w:ind w:start="302.40pt" w:hanging="18pt"/>
      </w:pPr>
      <w:rPr>
        <w:rFonts w:ascii="Courier New" w:hAnsi="Courier New" w:cs="Courier New" w:hint="default"/>
      </w:rPr>
    </w:lvl>
    <w:lvl w:ilvl="8" w:tplc="04090005" w:tentative="1">
      <w:start w:val="1"/>
      <w:numFmt w:val="bullet"/>
      <w:lvlText w:val=""/>
      <w:lvlJc w:val="start"/>
      <w:pPr>
        <w:ind w:start="338.40pt" w:hanging="18pt"/>
      </w:pPr>
      <w:rPr>
        <w:rFonts w:ascii="Wingdings" w:hAnsi="Wingdings" w:hint="default"/>
      </w:rPr>
    </w:lvl>
  </w:abstractNum>
  <w:num w:numId="1">
    <w:abstractNumId w:val="17"/>
  </w:num>
  <w:num w:numId="2">
    <w:abstractNumId w:val="24"/>
  </w:num>
  <w:num w:numId="3">
    <w:abstractNumId w:val="15"/>
  </w:num>
  <w:num w:numId="4">
    <w:abstractNumId w:val="19"/>
  </w:num>
  <w:num w:numId="5">
    <w:abstractNumId w:val="19"/>
  </w:num>
  <w:num w:numId="6">
    <w:abstractNumId w:val="19"/>
  </w:num>
  <w:num w:numId="7">
    <w:abstractNumId w:val="19"/>
  </w:num>
  <w:num w:numId="8">
    <w:abstractNumId w:val="21"/>
  </w:num>
  <w:num w:numId="9">
    <w:abstractNumId w:val="25"/>
  </w:num>
  <w:num w:numId="10">
    <w:abstractNumId w:val="18"/>
  </w:num>
  <w:num w:numId="11">
    <w:abstractNumId w:val="13"/>
  </w:num>
  <w:num w:numId="12">
    <w:abstractNumId w:val="12"/>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20"/>
  </w:num>
  <w:num w:numId="25">
    <w:abstractNumId w:val="22"/>
  </w:num>
  <w:num w:numId="26">
    <w:abstractNumId w:val="14"/>
  </w:num>
  <w:num w:numId="27">
    <w:abstractNumId w:val="23"/>
  </w:num>
  <w:num w:numId="28">
    <w:abstractNumId w:val="26"/>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1"/>
  </w:num>
  <w:num w:numId="33">
    <w:abstractNumId w:val="21"/>
  </w:num>
  <w:num w:numId="34">
    <w:abstractNumId w:val="21"/>
  </w:num>
  <w:num w:numId="35">
    <w:abstractNumId w:val="16"/>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36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D9"/>
    <w:rsid w:val="00001329"/>
    <w:rsid w:val="00003E58"/>
    <w:rsid w:val="000100C0"/>
    <w:rsid w:val="00024E9D"/>
    <w:rsid w:val="00027F1C"/>
    <w:rsid w:val="00032675"/>
    <w:rsid w:val="0003547C"/>
    <w:rsid w:val="00040A30"/>
    <w:rsid w:val="00044B9F"/>
    <w:rsid w:val="00045844"/>
    <w:rsid w:val="00047269"/>
    <w:rsid w:val="0004781E"/>
    <w:rsid w:val="00050840"/>
    <w:rsid w:val="0005768A"/>
    <w:rsid w:val="0006092C"/>
    <w:rsid w:val="00063A93"/>
    <w:rsid w:val="000641A5"/>
    <w:rsid w:val="000652EF"/>
    <w:rsid w:val="0007444B"/>
    <w:rsid w:val="000847FA"/>
    <w:rsid w:val="000854CE"/>
    <w:rsid w:val="000857EA"/>
    <w:rsid w:val="0008758A"/>
    <w:rsid w:val="00094A14"/>
    <w:rsid w:val="000A06E1"/>
    <w:rsid w:val="000A2A58"/>
    <w:rsid w:val="000A310D"/>
    <w:rsid w:val="000A65FE"/>
    <w:rsid w:val="000B0347"/>
    <w:rsid w:val="000B06A1"/>
    <w:rsid w:val="000B6C2C"/>
    <w:rsid w:val="000B79CA"/>
    <w:rsid w:val="000C1E68"/>
    <w:rsid w:val="000C4B14"/>
    <w:rsid w:val="000C5019"/>
    <w:rsid w:val="000E52F4"/>
    <w:rsid w:val="000F2205"/>
    <w:rsid w:val="000F3B68"/>
    <w:rsid w:val="000F79F6"/>
    <w:rsid w:val="001055A2"/>
    <w:rsid w:val="00110283"/>
    <w:rsid w:val="00114718"/>
    <w:rsid w:val="00120DE1"/>
    <w:rsid w:val="001239FD"/>
    <w:rsid w:val="001274E2"/>
    <w:rsid w:val="001424FA"/>
    <w:rsid w:val="00142BA7"/>
    <w:rsid w:val="0015079E"/>
    <w:rsid w:val="00152C8C"/>
    <w:rsid w:val="0016260C"/>
    <w:rsid w:val="00165FB6"/>
    <w:rsid w:val="00166061"/>
    <w:rsid w:val="00170F41"/>
    <w:rsid w:val="001719A5"/>
    <w:rsid w:val="00172844"/>
    <w:rsid w:val="00181CC9"/>
    <w:rsid w:val="00183D8B"/>
    <w:rsid w:val="00186F9C"/>
    <w:rsid w:val="00187B7D"/>
    <w:rsid w:val="00192219"/>
    <w:rsid w:val="00192347"/>
    <w:rsid w:val="00196F97"/>
    <w:rsid w:val="001A1ADA"/>
    <w:rsid w:val="001A2EFD"/>
    <w:rsid w:val="001A3B3D"/>
    <w:rsid w:val="001A42EA"/>
    <w:rsid w:val="001A51CC"/>
    <w:rsid w:val="001B27C6"/>
    <w:rsid w:val="001B4846"/>
    <w:rsid w:val="001B4EE5"/>
    <w:rsid w:val="001B643B"/>
    <w:rsid w:val="001B6751"/>
    <w:rsid w:val="001B67DC"/>
    <w:rsid w:val="001C0749"/>
    <w:rsid w:val="001C18A0"/>
    <w:rsid w:val="001D0415"/>
    <w:rsid w:val="001D1C65"/>
    <w:rsid w:val="001D2080"/>
    <w:rsid w:val="001D4F8A"/>
    <w:rsid w:val="001D7BCF"/>
    <w:rsid w:val="001E03F1"/>
    <w:rsid w:val="001E1120"/>
    <w:rsid w:val="001E1585"/>
    <w:rsid w:val="001E2B8E"/>
    <w:rsid w:val="001E7390"/>
    <w:rsid w:val="001F5B85"/>
    <w:rsid w:val="00201377"/>
    <w:rsid w:val="0020225B"/>
    <w:rsid w:val="00203D7D"/>
    <w:rsid w:val="002076EA"/>
    <w:rsid w:val="00214428"/>
    <w:rsid w:val="00216748"/>
    <w:rsid w:val="002170B5"/>
    <w:rsid w:val="00221727"/>
    <w:rsid w:val="002254A9"/>
    <w:rsid w:val="00233D97"/>
    <w:rsid w:val="00241C7F"/>
    <w:rsid w:val="0025167C"/>
    <w:rsid w:val="00252A71"/>
    <w:rsid w:val="00254A57"/>
    <w:rsid w:val="002551C9"/>
    <w:rsid w:val="00255684"/>
    <w:rsid w:val="002652F5"/>
    <w:rsid w:val="0026754C"/>
    <w:rsid w:val="00271C20"/>
    <w:rsid w:val="00272EEB"/>
    <w:rsid w:val="00274914"/>
    <w:rsid w:val="002850E3"/>
    <w:rsid w:val="00292153"/>
    <w:rsid w:val="0029255B"/>
    <w:rsid w:val="002961F8"/>
    <w:rsid w:val="0029698F"/>
    <w:rsid w:val="00297318"/>
    <w:rsid w:val="00297B8E"/>
    <w:rsid w:val="002A3CD0"/>
    <w:rsid w:val="002A3F51"/>
    <w:rsid w:val="002B1CC6"/>
    <w:rsid w:val="002C0650"/>
    <w:rsid w:val="002C6C2E"/>
    <w:rsid w:val="002D0886"/>
    <w:rsid w:val="002D0897"/>
    <w:rsid w:val="002D7680"/>
    <w:rsid w:val="002E5DE9"/>
    <w:rsid w:val="002E7ADA"/>
    <w:rsid w:val="002F5DAA"/>
    <w:rsid w:val="002F7B14"/>
    <w:rsid w:val="003011C4"/>
    <w:rsid w:val="00306EEB"/>
    <w:rsid w:val="003200BD"/>
    <w:rsid w:val="00323F7E"/>
    <w:rsid w:val="00324053"/>
    <w:rsid w:val="0032506C"/>
    <w:rsid w:val="00330DB2"/>
    <w:rsid w:val="0033144C"/>
    <w:rsid w:val="0033419D"/>
    <w:rsid w:val="003356D2"/>
    <w:rsid w:val="00335F52"/>
    <w:rsid w:val="0034185E"/>
    <w:rsid w:val="00345235"/>
    <w:rsid w:val="003454D8"/>
    <w:rsid w:val="003466D7"/>
    <w:rsid w:val="003500A9"/>
    <w:rsid w:val="00350349"/>
    <w:rsid w:val="003522D5"/>
    <w:rsid w:val="0035435A"/>
    <w:rsid w:val="00354FCF"/>
    <w:rsid w:val="00361ECA"/>
    <w:rsid w:val="003639A1"/>
    <w:rsid w:val="00363C27"/>
    <w:rsid w:val="00363EAE"/>
    <w:rsid w:val="00372125"/>
    <w:rsid w:val="0037571C"/>
    <w:rsid w:val="003768F8"/>
    <w:rsid w:val="00385923"/>
    <w:rsid w:val="00387EEC"/>
    <w:rsid w:val="00390883"/>
    <w:rsid w:val="003A19E2"/>
    <w:rsid w:val="003A2A38"/>
    <w:rsid w:val="003A4225"/>
    <w:rsid w:val="003A4718"/>
    <w:rsid w:val="003A6E1B"/>
    <w:rsid w:val="003B1548"/>
    <w:rsid w:val="003B3E0A"/>
    <w:rsid w:val="003B7AB9"/>
    <w:rsid w:val="003C0B8A"/>
    <w:rsid w:val="003C3804"/>
    <w:rsid w:val="003C42AE"/>
    <w:rsid w:val="003C621A"/>
    <w:rsid w:val="003D14F3"/>
    <w:rsid w:val="003D309D"/>
    <w:rsid w:val="003D3939"/>
    <w:rsid w:val="003D3F99"/>
    <w:rsid w:val="003D6161"/>
    <w:rsid w:val="003E149A"/>
    <w:rsid w:val="003E1BB4"/>
    <w:rsid w:val="003E7C69"/>
    <w:rsid w:val="003F00D8"/>
    <w:rsid w:val="003F0B4B"/>
    <w:rsid w:val="00407D09"/>
    <w:rsid w:val="0041157E"/>
    <w:rsid w:val="00412E9A"/>
    <w:rsid w:val="00413233"/>
    <w:rsid w:val="004177C2"/>
    <w:rsid w:val="00421EC6"/>
    <w:rsid w:val="00422BCD"/>
    <w:rsid w:val="00424D6C"/>
    <w:rsid w:val="00425E72"/>
    <w:rsid w:val="004263DB"/>
    <w:rsid w:val="004325FB"/>
    <w:rsid w:val="00435685"/>
    <w:rsid w:val="004358DF"/>
    <w:rsid w:val="00437A2B"/>
    <w:rsid w:val="00441FC1"/>
    <w:rsid w:val="004432BA"/>
    <w:rsid w:val="0044407E"/>
    <w:rsid w:val="0044741F"/>
    <w:rsid w:val="00452736"/>
    <w:rsid w:val="00453392"/>
    <w:rsid w:val="004543FA"/>
    <w:rsid w:val="004622C2"/>
    <w:rsid w:val="00462377"/>
    <w:rsid w:val="0046549F"/>
    <w:rsid w:val="00466C9D"/>
    <w:rsid w:val="0047352D"/>
    <w:rsid w:val="00474F74"/>
    <w:rsid w:val="0047607E"/>
    <w:rsid w:val="00484DE6"/>
    <w:rsid w:val="004872D4"/>
    <w:rsid w:val="00487F29"/>
    <w:rsid w:val="0049219C"/>
    <w:rsid w:val="0049301F"/>
    <w:rsid w:val="00495341"/>
    <w:rsid w:val="004A1110"/>
    <w:rsid w:val="004A153E"/>
    <w:rsid w:val="004A18AE"/>
    <w:rsid w:val="004A761D"/>
    <w:rsid w:val="004B0A04"/>
    <w:rsid w:val="004B0FB1"/>
    <w:rsid w:val="004B1144"/>
    <w:rsid w:val="004B2DFC"/>
    <w:rsid w:val="004B3A3D"/>
    <w:rsid w:val="004B688D"/>
    <w:rsid w:val="004B7B0D"/>
    <w:rsid w:val="004B7F74"/>
    <w:rsid w:val="004B7FEC"/>
    <w:rsid w:val="004C5430"/>
    <w:rsid w:val="004C5A23"/>
    <w:rsid w:val="004D0248"/>
    <w:rsid w:val="004D0C98"/>
    <w:rsid w:val="004D32CD"/>
    <w:rsid w:val="004D601A"/>
    <w:rsid w:val="004D72B5"/>
    <w:rsid w:val="004E323C"/>
    <w:rsid w:val="004E5E87"/>
    <w:rsid w:val="004E6CCD"/>
    <w:rsid w:val="004F21B2"/>
    <w:rsid w:val="004F3664"/>
    <w:rsid w:val="004F7B53"/>
    <w:rsid w:val="00503974"/>
    <w:rsid w:val="00504017"/>
    <w:rsid w:val="0050622E"/>
    <w:rsid w:val="00507FDB"/>
    <w:rsid w:val="00510B6D"/>
    <w:rsid w:val="005118C5"/>
    <w:rsid w:val="005150AC"/>
    <w:rsid w:val="00517AAD"/>
    <w:rsid w:val="0052542C"/>
    <w:rsid w:val="005279B5"/>
    <w:rsid w:val="00531823"/>
    <w:rsid w:val="00532BFD"/>
    <w:rsid w:val="00532CDA"/>
    <w:rsid w:val="0054584E"/>
    <w:rsid w:val="00546B84"/>
    <w:rsid w:val="00546D20"/>
    <w:rsid w:val="00547E73"/>
    <w:rsid w:val="00551B7F"/>
    <w:rsid w:val="005542DF"/>
    <w:rsid w:val="005557ED"/>
    <w:rsid w:val="00562427"/>
    <w:rsid w:val="0056508E"/>
    <w:rsid w:val="0056610F"/>
    <w:rsid w:val="00567CBD"/>
    <w:rsid w:val="005740A5"/>
    <w:rsid w:val="00575BCA"/>
    <w:rsid w:val="00581B35"/>
    <w:rsid w:val="005919D6"/>
    <w:rsid w:val="005937F1"/>
    <w:rsid w:val="0059699F"/>
    <w:rsid w:val="005A28A8"/>
    <w:rsid w:val="005A3786"/>
    <w:rsid w:val="005A441B"/>
    <w:rsid w:val="005A4E5D"/>
    <w:rsid w:val="005A4F9C"/>
    <w:rsid w:val="005A6474"/>
    <w:rsid w:val="005B022C"/>
    <w:rsid w:val="005B0344"/>
    <w:rsid w:val="005B45BA"/>
    <w:rsid w:val="005B520E"/>
    <w:rsid w:val="005B75E2"/>
    <w:rsid w:val="005C1749"/>
    <w:rsid w:val="005C7C2E"/>
    <w:rsid w:val="005D0A65"/>
    <w:rsid w:val="005D2AE0"/>
    <w:rsid w:val="005D7AAE"/>
    <w:rsid w:val="005E0D71"/>
    <w:rsid w:val="005E2800"/>
    <w:rsid w:val="005E2AC1"/>
    <w:rsid w:val="005E37E5"/>
    <w:rsid w:val="005E6B46"/>
    <w:rsid w:val="005F7AFC"/>
    <w:rsid w:val="00600A08"/>
    <w:rsid w:val="00606AF6"/>
    <w:rsid w:val="006073DC"/>
    <w:rsid w:val="0061640A"/>
    <w:rsid w:val="0061772E"/>
    <w:rsid w:val="006177B8"/>
    <w:rsid w:val="00623A16"/>
    <w:rsid w:val="006250C7"/>
    <w:rsid w:val="006347CF"/>
    <w:rsid w:val="00635B0E"/>
    <w:rsid w:val="00636B28"/>
    <w:rsid w:val="00636B2B"/>
    <w:rsid w:val="006428C5"/>
    <w:rsid w:val="00645786"/>
    <w:rsid w:val="00645D22"/>
    <w:rsid w:val="00651A08"/>
    <w:rsid w:val="00652015"/>
    <w:rsid w:val="00652FDF"/>
    <w:rsid w:val="00654204"/>
    <w:rsid w:val="00655D9F"/>
    <w:rsid w:val="00660A60"/>
    <w:rsid w:val="00662EC0"/>
    <w:rsid w:val="0066309F"/>
    <w:rsid w:val="0066499D"/>
    <w:rsid w:val="00666F05"/>
    <w:rsid w:val="0066766D"/>
    <w:rsid w:val="00670434"/>
    <w:rsid w:val="00676145"/>
    <w:rsid w:val="00680BE5"/>
    <w:rsid w:val="00682321"/>
    <w:rsid w:val="00685934"/>
    <w:rsid w:val="00686005"/>
    <w:rsid w:val="00686107"/>
    <w:rsid w:val="00690A6E"/>
    <w:rsid w:val="006A60AE"/>
    <w:rsid w:val="006A740A"/>
    <w:rsid w:val="006B0AA8"/>
    <w:rsid w:val="006B5999"/>
    <w:rsid w:val="006B6098"/>
    <w:rsid w:val="006B6B66"/>
    <w:rsid w:val="006C1882"/>
    <w:rsid w:val="006C4268"/>
    <w:rsid w:val="006D04EC"/>
    <w:rsid w:val="006D3390"/>
    <w:rsid w:val="006D3622"/>
    <w:rsid w:val="006D58CC"/>
    <w:rsid w:val="006D5A05"/>
    <w:rsid w:val="006D6B8C"/>
    <w:rsid w:val="006D7561"/>
    <w:rsid w:val="006D776F"/>
    <w:rsid w:val="006E09D7"/>
    <w:rsid w:val="006E3DDA"/>
    <w:rsid w:val="006E6CE4"/>
    <w:rsid w:val="006F4470"/>
    <w:rsid w:val="006F5346"/>
    <w:rsid w:val="006F6D3D"/>
    <w:rsid w:val="00701E76"/>
    <w:rsid w:val="00704134"/>
    <w:rsid w:val="00706651"/>
    <w:rsid w:val="00707DD5"/>
    <w:rsid w:val="00711130"/>
    <w:rsid w:val="00715BEA"/>
    <w:rsid w:val="007167FC"/>
    <w:rsid w:val="00722052"/>
    <w:rsid w:val="007227C2"/>
    <w:rsid w:val="00722AE6"/>
    <w:rsid w:val="00724874"/>
    <w:rsid w:val="007329C3"/>
    <w:rsid w:val="00733822"/>
    <w:rsid w:val="00733C19"/>
    <w:rsid w:val="007369F5"/>
    <w:rsid w:val="00736A32"/>
    <w:rsid w:val="00740EEA"/>
    <w:rsid w:val="00742B6B"/>
    <w:rsid w:val="00745902"/>
    <w:rsid w:val="007538B0"/>
    <w:rsid w:val="00756733"/>
    <w:rsid w:val="0075756A"/>
    <w:rsid w:val="00760A7A"/>
    <w:rsid w:val="0076297D"/>
    <w:rsid w:val="00762A68"/>
    <w:rsid w:val="007658F0"/>
    <w:rsid w:val="007711AD"/>
    <w:rsid w:val="007757AD"/>
    <w:rsid w:val="00781B29"/>
    <w:rsid w:val="00781EB5"/>
    <w:rsid w:val="00785A6E"/>
    <w:rsid w:val="00786BD1"/>
    <w:rsid w:val="00787BE9"/>
    <w:rsid w:val="00794804"/>
    <w:rsid w:val="007A0D23"/>
    <w:rsid w:val="007A5119"/>
    <w:rsid w:val="007B1E37"/>
    <w:rsid w:val="007B33F1"/>
    <w:rsid w:val="007B5290"/>
    <w:rsid w:val="007C0308"/>
    <w:rsid w:val="007C2FF2"/>
    <w:rsid w:val="007D2885"/>
    <w:rsid w:val="007D6232"/>
    <w:rsid w:val="007E002F"/>
    <w:rsid w:val="007E1802"/>
    <w:rsid w:val="007E468C"/>
    <w:rsid w:val="007E5989"/>
    <w:rsid w:val="007E64FC"/>
    <w:rsid w:val="007F035A"/>
    <w:rsid w:val="007F0511"/>
    <w:rsid w:val="007F1F99"/>
    <w:rsid w:val="007F2885"/>
    <w:rsid w:val="007F3337"/>
    <w:rsid w:val="007F6B15"/>
    <w:rsid w:val="007F768F"/>
    <w:rsid w:val="00803E62"/>
    <w:rsid w:val="00806518"/>
    <w:rsid w:val="0080791D"/>
    <w:rsid w:val="008102CC"/>
    <w:rsid w:val="00816995"/>
    <w:rsid w:val="0082408D"/>
    <w:rsid w:val="0082660D"/>
    <w:rsid w:val="00847235"/>
    <w:rsid w:val="008517A9"/>
    <w:rsid w:val="00852E2C"/>
    <w:rsid w:val="0085716F"/>
    <w:rsid w:val="008613A1"/>
    <w:rsid w:val="008636A6"/>
    <w:rsid w:val="0086380A"/>
    <w:rsid w:val="00865F4A"/>
    <w:rsid w:val="00870772"/>
    <w:rsid w:val="00872CFD"/>
    <w:rsid w:val="00873603"/>
    <w:rsid w:val="00877AA6"/>
    <w:rsid w:val="00880E62"/>
    <w:rsid w:val="00881440"/>
    <w:rsid w:val="00884AA8"/>
    <w:rsid w:val="00886140"/>
    <w:rsid w:val="00891559"/>
    <w:rsid w:val="00893E73"/>
    <w:rsid w:val="008A09E4"/>
    <w:rsid w:val="008A1075"/>
    <w:rsid w:val="008A2C7D"/>
    <w:rsid w:val="008B44D0"/>
    <w:rsid w:val="008B4627"/>
    <w:rsid w:val="008B61B7"/>
    <w:rsid w:val="008B6F59"/>
    <w:rsid w:val="008C2187"/>
    <w:rsid w:val="008C4B23"/>
    <w:rsid w:val="008C7362"/>
    <w:rsid w:val="008D2FE4"/>
    <w:rsid w:val="008D3B3E"/>
    <w:rsid w:val="008E3C36"/>
    <w:rsid w:val="008E4770"/>
    <w:rsid w:val="008F29FE"/>
    <w:rsid w:val="008F2F1A"/>
    <w:rsid w:val="008F5908"/>
    <w:rsid w:val="008F5DAD"/>
    <w:rsid w:val="008F6E2C"/>
    <w:rsid w:val="00903A40"/>
    <w:rsid w:val="00906BB5"/>
    <w:rsid w:val="00913794"/>
    <w:rsid w:val="00915886"/>
    <w:rsid w:val="009177E8"/>
    <w:rsid w:val="009303D9"/>
    <w:rsid w:val="009326E1"/>
    <w:rsid w:val="009329EE"/>
    <w:rsid w:val="009333B0"/>
    <w:rsid w:val="0093394D"/>
    <w:rsid w:val="00933C64"/>
    <w:rsid w:val="00941CF2"/>
    <w:rsid w:val="00942517"/>
    <w:rsid w:val="00947C92"/>
    <w:rsid w:val="00954D1B"/>
    <w:rsid w:val="009564E4"/>
    <w:rsid w:val="0095767F"/>
    <w:rsid w:val="0096423B"/>
    <w:rsid w:val="00964EBF"/>
    <w:rsid w:val="00970A10"/>
    <w:rsid w:val="00972203"/>
    <w:rsid w:val="00976E72"/>
    <w:rsid w:val="00981E62"/>
    <w:rsid w:val="00991789"/>
    <w:rsid w:val="009950D8"/>
    <w:rsid w:val="0099632E"/>
    <w:rsid w:val="009A03F6"/>
    <w:rsid w:val="009A5AF6"/>
    <w:rsid w:val="009A5E65"/>
    <w:rsid w:val="009A6496"/>
    <w:rsid w:val="009A6C1F"/>
    <w:rsid w:val="009B1259"/>
    <w:rsid w:val="009B32D2"/>
    <w:rsid w:val="009B3DC0"/>
    <w:rsid w:val="009B7B8C"/>
    <w:rsid w:val="009C381C"/>
    <w:rsid w:val="009C4373"/>
    <w:rsid w:val="009C57F5"/>
    <w:rsid w:val="009C6FAC"/>
    <w:rsid w:val="009D153B"/>
    <w:rsid w:val="009D31C0"/>
    <w:rsid w:val="009D4CE8"/>
    <w:rsid w:val="009F0303"/>
    <w:rsid w:val="00A00B8D"/>
    <w:rsid w:val="00A0531B"/>
    <w:rsid w:val="00A059B3"/>
    <w:rsid w:val="00A0649D"/>
    <w:rsid w:val="00A077F8"/>
    <w:rsid w:val="00A1462B"/>
    <w:rsid w:val="00A17B0D"/>
    <w:rsid w:val="00A20EF0"/>
    <w:rsid w:val="00A21F7A"/>
    <w:rsid w:val="00A33C48"/>
    <w:rsid w:val="00A356A6"/>
    <w:rsid w:val="00A366B5"/>
    <w:rsid w:val="00A3756D"/>
    <w:rsid w:val="00A45585"/>
    <w:rsid w:val="00A456DC"/>
    <w:rsid w:val="00A512D7"/>
    <w:rsid w:val="00A56161"/>
    <w:rsid w:val="00A70E2E"/>
    <w:rsid w:val="00A756E8"/>
    <w:rsid w:val="00A77F54"/>
    <w:rsid w:val="00A83751"/>
    <w:rsid w:val="00A841C4"/>
    <w:rsid w:val="00A93C92"/>
    <w:rsid w:val="00A97DD0"/>
    <w:rsid w:val="00AA5BAA"/>
    <w:rsid w:val="00AA6FE7"/>
    <w:rsid w:val="00AA7743"/>
    <w:rsid w:val="00AA7945"/>
    <w:rsid w:val="00AB3344"/>
    <w:rsid w:val="00AB408E"/>
    <w:rsid w:val="00AB4F01"/>
    <w:rsid w:val="00AC34A2"/>
    <w:rsid w:val="00AC491F"/>
    <w:rsid w:val="00AD61BF"/>
    <w:rsid w:val="00AD74E1"/>
    <w:rsid w:val="00AE3409"/>
    <w:rsid w:val="00AE4743"/>
    <w:rsid w:val="00AE5B27"/>
    <w:rsid w:val="00AF0260"/>
    <w:rsid w:val="00AF05F5"/>
    <w:rsid w:val="00AF1139"/>
    <w:rsid w:val="00AF324B"/>
    <w:rsid w:val="00AF443A"/>
    <w:rsid w:val="00AF6139"/>
    <w:rsid w:val="00B03A2C"/>
    <w:rsid w:val="00B04874"/>
    <w:rsid w:val="00B0654D"/>
    <w:rsid w:val="00B11A60"/>
    <w:rsid w:val="00B13DA6"/>
    <w:rsid w:val="00B1587C"/>
    <w:rsid w:val="00B1724B"/>
    <w:rsid w:val="00B22613"/>
    <w:rsid w:val="00B22654"/>
    <w:rsid w:val="00B2273C"/>
    <w:rsid w:val="00B245BC"/>
    <w:rsid w:val="00B3609A"/>
    <w:rsid w:val="00B365C3"/>
    <w:rsid w:val="00B3703E"/>
    <w:rsid w:val="00B37A16"/>
    <w:rsid w:val="00B466BD"/>
    <w:rsid w:val="00B511D6"/>
    <w:rsid w:val="00B539B0"/>
    <w:rsid w:val="00B540B4"/>
    <w:rsid w:val="00B602AA"/>
    <w:rsid w:val="00B60A9B"/>
    <w:rsid w:val="00B72C89"/>
    <w:rsid w:val="00B74E98"/>
    <w:rsid w:val="00B753FE"/>
    <w:rsid w:val="00B87580"/>
    <w:rsid w:val="00B9309F"/>
    <w:rsid w:val="00B95ED6"/>
    <w:rsid w:val="00B977ED"/>
    <w:rsid w:val="00BA0168"/>
    <w:rsid w:val="00BA06B6"/>
    <w:rsid w:val="00BA0E9E"/>
    <w:rsid w:val="00BA1025"/>
    <w:rsid w:val="00BA202C"/>
    <w:rsid w:val="00BA2103"/>
    <w:rsid w:val="00BA4EDC"/>
    <w:rsid w:val="00BB1E7E"/>
    <w:rsid w:val="00BB2D53"/>
    <w:rsid w:val="00BB36D7"/>
    <w:rsid w:val="00BB384D"/>
    <w:rsid w:val="00BB3A80"/>
    <w:rsid w:val="00BB7D73"/>
    <w:rsid w:val="00BC2194"/>
    <w:rsid w:val="00BC3420"/>
    <w:rsid w:val="00BC3707"/>
    <w:rsid w:val="00BC7AD4"/>
    <w:rsid w:val="00BD4AB2"/>
    <w:rsid w:val="00BE09AB"/>
    <w:rsid w:val="00BE2E5F"/>
    <w:rsid w:val="00BE6F68"/>
    <w:rsid w:val="00BE7D2B"/>
    <w:rsid w:val="00BE7D3C"/>
    <w:rsid w:val="00BF33A6"/>
    <w:rsid w:val="00BF5F4C"/>
    <w:rsid w:val="00BF5FF6"/>
    <w:rsid w:val="00BF70BD"/>
    <w:rsid w:val="00C011C2"/>
    <w:rsid w:val="00C0207F"/>
    <w:rsid w:val="00C03DA8"/>
    <w:rsid w:val="00C12306"/>
    <w:rsid w:val="00C127CC"/>
    <w:rsid w:val="00C16117"/>
    <w:rsid w:val="00C16988"/>
    <w:rsid w:val="00C17554"/>
    <w:rsid w:val="00C209E7"/>
    <w:rsid w:val="00C20D8A"/>
    <w:rsid w:val="00C262EF"/>
    <w:rsid w:val="00C26B4A"/>
    <w:rsid w:val="00C27230"/>
    <w:rsid w:val="00C3075A"/>
    <w:rsid w:val="00C32836"/>
    <w:rsid w:val="00C32BAE"/>
    <w:rsid w:val="00C3598A"/>
    <w:rsid w:val="00C40AE3"/>
    <w:rsid w:val="00C4124B"/>
    <w:rsid w:val="00C42D80"/>
    <w:rsid w:val="00C46DEF"/>
    <w:rsid w:val="00C50BF9"/>
    <w:rsid w:val="00C51961"/>
    <w:rsid w:val="00C5687A"/>
    <w:rsid w:val="00C57A65"/>
    <w:rsid w:val="00C605DD"/>
    <w:rsid w:val="00C60977"/>
    <w:rsid w:val="00C64331"/>
    <w:rsid w:val="00C647C3"/>
    <w:rsid w:val="00C67BF3"/>
    <w:rsid w:val="00C76FFC"/>
    <w:rsid w:val="00C83C5F"/>
    <w:rsid w:val="00C915EC"/>
    <w:rsid w:val="00C91607"/>
    <w:rsid w:val="00C919A4"/>
    <w:rsid w:val="00C972A7"/>
    <w:rsid w:val="00CA12FE"/>
    <w:rsid w:val="00CA164F"/>
    <w:rsid w:val="00CA4392"/>
    <w:rsid w:val="00CB3E43"/>
    <w:rsid w:val="00CB6211"/>
    <w:rsid w:val="00CB6D90"/>
    <w:rsid w:val="00CC393F"/>
    <w:rsid w:val="00CC3D8B"/>
    <w:rsid w:val="00CC62C3"/>
    <w:rsid w:val="00CC6669"/>
    <w:rsid w:val="00CC6AE3"/>
    <w:rsid w:val="00CD0B7A"/>
    <w:rsid w:val="00CD1D46"/>
    <w:rsid w:val="00CD5985"/>
    <w:rsid w:val="00CD66CD"/>
    <w:rsid w:val="00CD6F62"/>
    <w:rsid w:val="00CE0278"/>
    <w:rsid w:val="00CE0F14"/>
    <w:rsid w:val="00CE29B5"/>
    <w:rsid w:val="00CE6B30"/>
    <w:rsid w:val="00CF0AF8"/>
    <w:rsid w:val="00D0261D"/>
    <w:rsid w:val="00D02885"/>
    <w:rsid w:val="00D02E43"/>
    <w:rsid w:val="00D03A59"/>
    <w:rsid w:val="00D0665D"/>
    <w:rsid w:val="00D11121"/>
    <w:rsid w:val="00D11F3C"/>
    <w:rsid w:val="00D13749"/>
    <w:rsid w:val="00D14FAE"/>
    <w:rsid w:val="00D15D54"/>
    <w:rsid w:val="00D2176E"/>
    <w:rsid w:val="00D269EB"/>
    <w:rsid w:val="00D26A30"/>
    <w:rsid w:val="00D26FE4"/>
    <w:rsid w:val="00D40B5E"/>
    <w:rsid w:val="00D51ABD"/>
    <w:rsid w:val="00D52D9E"/>
    <w:rsid w:val="00D5577C"/>
    <w:rsid w:val="00D61A91"/>
    <w:rsid w:val="00D63153"/>
    <w:rsid w:val="00D632BE"/>
    <w:rsid w:val="00D66304"/>
    <w:rsid w:val="00D7005C"/>
    <w:rsid w:val="00D7019B"/>
    <w:rsid w:val="00D70F7D"/>
    <w:rsid w:val="00D7114D"/>
    <w:rsid w:val="00D71B9A"/>
    <w:rsid w:val="00D72D06"/>
    <w:rsid w:val="00D7522C"/>
    <w:rsid w:val="00D7536F"/>
    <w:rsid w:val="00D76668"/>
    <w:rsid w:val="00D80EF8"/>
    <w:rsid w:val="00D83C3C"/>
    <w:rsid w:val="00D84593"/>
    <w:rsid w:val="00D85F33"/>
    <w:rsid w:val="00D92849"/>
    <w:rsid w:val="00D93DD5"/>
    <w:rsid w:val="00D97F1E"/>
    <w:rsid w:val="00DA0ED7"/>
    <w:rsid w:val="00DA0F7A"/>
    <w:rsid w:val="00DA1877"/>
    <w:rsid w:val="00DA76A1"/>
    <w:rsid w:val="00DB6B79"/>
    <w:rsid w:val="00DC0FC7"/>
    <w:rsid w:val="00DC3175"/>
    <w:rsid w:val="00DC4314"/>
    <w:rsid w:val="00DD360D"/>
    <w:rsid w:val="00DD3CAE"/>
    <w:rsid w:val="00DD528F"/>
    <w:rsid w:val="00DE561E"/>
    <w:rsid w:val="00DE5B76"/>
    <w:rsid w:val="00DF083B"/>
    <w:rsid w:val="00DF1070"/>
    <w:rsid w:val="00DF796C"/>
    <w:rsid w:val="00DF7F41"/>
    <w:rsid w:val="00E01D61"/>
    <w:rsid w:val="00E043CF"/>
    <w:rsid w:val="00E06173"/>
    <w:rsid w:val="00E119CC"/>
    <w:rsid w:val="00E11DBF"/>
    <w:rsid w:val="00E12DB9"/>
    <w:rsid w:val="00E2239B"/>
    <w:rsid w:val="00E227F0"/>
    <w:rsid w:val="00E22A23"/>
    <w:rsid w:val="00E35855"/>
    <w:rsid w:val="00E40C73"/>
    <w:rsid w:val="00E442A4"/>
    <w:rsid w:val="00E4504C"/>
    <w:rsid w:val="00E46588"/>
    <w:rsid w:val="00E53259"/>
    <w:rsid w:val="00E57C8B"/>
    <w:rsid w:val="00E60C6E"/>
    <w:rsid w:val="00E61049"/>
    <w:rsid w:val="00E61D0D"/>
    <w:rsid w:val="00E61E12"/>
    <w:rsid w:val="00E6256A"/>
    <w:rsid w:val="00E62FD9"/>
    <w:rsid w:val="00E659A6"/>
    <w:rsid w:val="00E7596C"/>
    <w:rsid w:val="00E76131"/>
    <w:rsid w:val="00E77B86"/>
    <w:rsid w:val="00E878F2"/>
    <w:rsid w:val="00E91FCE"/>
    <w:rsid w:val="00E94B08"/>
    <w:rsid w:val="00E97A88"/>
    <w:rsid w:val="00EA6671"/>
    <w:rsid w:val="00EA72BA"/>
    <w:rsid w:val="00EA7708"/>
    <w:rsid w:val="00EA7778"/>
    <w:rsid w:val="00EB0942"/>
    <w:rsid w:val="00EC508F"/>
    <w:rsid w:val="00EC6D62"/>
    <w:rsid w:val="00EC71D1"/>
    <w:rsid w:val="00ED0149"/>
    <w:rsid w:val="00ED0EA3"/>
    <w:rsid w:val="00ED0F41"/>
    <w:rsid w:val="00ED1DFE"/>
    <w:rsid w:val="00ED2BC3"/>
    <w:rsid w:val="00ED75D0"/>
    <w:rsid w:val="00EE0575"/>
    <w:rsid w:val="00EE073D"/>
    <w:rsid w:val="00EE0BF3"/>
    <w:rsid w:val="00EE0C4B"/>
    <w:rsid w:val="00EE4686"/>
    <w:rsid w:val="00EF1DF8"/>
    <w:rsid w:val="00EF3C75"/>
    <w:rsid w:val="00EF5EA4"/>
    <w:rsid w:val="00EF7DE3"/>
    <w:rsid w:val="00F007D0"/>
    <w:rsid w:val="00F01933"/>
    <w:rsid w:val="00F03103"/>
    <w:rsid w:val="00F03E11"/>
    <w:rsid w:val="00F0650B"/>
    <w:rsid w:val="00F146BC"/>
    <w:rsid w:val="00F16EAD"/>
    <w:rsid w:val="00F17591"/>
    <w:rsid w:val="00F2125D"/>
    <w:rsid w:val="00F2466E"/>
    <w:rsid w:val="00F270E9"/>
    <w:rsid w:val="00F271DE"/>
    <w:rsid w:val="00F27F4C"/>
    <w:rsid w:val="00F348C5"/>
    <w:rsid w:val="00F41463"/>
    <w:rsid w:val="00F46F12"/>
    <w:rsid w:val="00F47D4B"/>
    <w:rsid w:val="00F5034F"/>
    <w:rsid w:val="00F51DAE"/>
    <w:rsid w:val="00F57FE3"/>
    <w:rsid w:val="00F621C9"/>
    <w:rsid w:val="00F6262F"/>
    <w:rsid w:val="00F627DA"/>
    <w:rsid w:val="00F63271"/>
    <w:rsid w:val="00F70431"/>
    <w:rsid w:val="00F7113B"/>
    <w:rsid w:val="00F71DE2"/>
    <w:rsid w:val="00F7288F"/>
    <w:rsid w:val="00F80EE9"/>
    <w:rsid w:val="00F847A6"/>
    <w:rsid w:val="00F90908"/>
    <w:rsid w:val="00F9441B"/>
    <w:rsid w:val="00F96569"/>
    <w:rsid w:val="00FA1D44"/>
    <w:rsid w:val="00FA4C32"/>
    <w:rsid w:val="00FA682D"/>
    <w:rsid w:val="00FA6C12"/>
    <w:rsid w:val="00FA7312"/>
    <w:rsid w:val="00FB11F6"/>
    <w:rsid w:val="00FB1456"/>
    <w:rsid w:val="00FB59B5"/>
    <w:rsid w:val="00FB6CD8"/>
    <w:rsid w:val="00FC18D7"/>
    <w:rsid w:val="00FC2AF2"/>
    <w:rsid w:val="00FC464F"/>
    <w:rsid w:val="00FC4BA2"/>
    <w:rsid w:val="00FC50A3"/>
    <w:rsid w:val="00FC7591"/>
    <w:rsid w:val="00FD00A1"/>
    <w:rsid w:val="00FD0EC7"/>
    <w:rsid w:val="00FD4E24"/>
    <w:rsid w:val="00FE2C65"/>
    <w:rsid w:val="00FE625E"/>
    <w:rsid w:val="00FE6327"/>
    <w:rsid w:val="00FE7114"/>
    <w:rsid w:val="00FE7D37"/>
    <w:rsid w:val="00FF426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7D02EA34"/>
  <w15:docId w15:val="{550CFBE1-37C2-438F-A133-B154CE95CF4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314"/>
    <w:pPr>
      <w:tabs>
        <w:tab w:val="start" w:pos="14.40pt"/>
      </w:tabs>
      <w:spacing w:after="6pt" w:line="11.40pt" w:lineRule="auto"/>
      <w:ind w:firstLine="14.40pt"/>
      <w:jc w:val="both"/>
    </w:pPr>
    <w:rPr>
      <w:spacing w:val="-1"/>
      <w:lang w:eastAsia="x-none"/>
    </w:rPr>
  </w:style>
  <w:style w:type="paragraph" w:styleId="Heading1">
    <w:name w:val="heading 1"/>
    <w:basedOn w:val="Normal"/>
    <w:next w:val="Normal"/>
    <w:link w:val="Heading1Char"/>
    <w:qFormat/>
    <w:rsid w:val="000652EF"/>
    <w:pPr>
      <w:keepNext/>
      <w:keepLines/>
      <w:numPr>
        <w:numId w:val="4"/>
      </w:numPr>
      <w:tabs>
        <w:tab w:val="start" w:pos="10.80pt"/>
      </w:tabs>
      <w:spacing w:before="8pt" w:after="4pt"/>
      <w:ind w:firstLine="0pt"/>
      <w:jc w:val="center"/>
      <w:outlineLvl w:val="0"/>
    </w:pPr>
    <w:rPr>
      <w:smallCaps/>
      <w:noProof/>
    </w:rPr>
  </w:style>
  <w:style w:type="paragraph" w:styleId="Heading2">
    <w:name w:val="heading 2"/>
    <w:basedOn w:val="Normal"/>
    <w:next w:val="Normal"/>
    <w:link w:val="Heading2Char"/>
    <w:qFormat/>
    <w:rsid w:val="00ED0149"/>
    <w:pPr>
      <w:keepNext/>
      <w:keepLines/>
      <w:numPr>
        <w:ilvl w:val="1"/>
        <w:numId w:val="4"/>
      </w:numPr>
      <w:tabs>
        <w:tab w:val="clear" w:pos="36pt"/>
        <w:tab w:val="num" w:pos="14.40pt"/>
      </w:tabs>
      <w:spacing w:before="6pt" w:after="3pt"/>
      <w:ind w:start="14.40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outlineLvl w:val="3"/>
    </w:pPr>
    <w:rPr>
      <w:i/>
      <w:iCs/>
      <w:noProof/>
    </w:rPr>
  </w:style>
  <w:style w:type="paragraph" w:styleId="Heading5">
    <w:name w:val="heading 5"/>
    <w:basedOn w:val="Normal"/>
    <w:next w:val="Normal"/>
    <w:link w:val="Heading5Char"/>
    <w:qFormat/>
    <w:pPr>
      <w:tabs>
        <w:tab w:val="start" w:pos="18pt"/>
      </w:tabs>
      <w:spacing w:before="8pt" w:after="4pt"/>
      <w:outlineLvl w:val="4"/>
    </w:pPr>
    <w:rPr>
      <w:smallCaps/>
      <w:noProo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rPr>
      <w:lang w:val="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rsid w:val="001A3B3D"/>
    <w:pPr>
      <w:tabs>
        <w:tab w:val="center" w:pos="234pt"/>
        <w:tab w:val="end" w:pos="468pt"/>
      </w:tabs>
    </w:pPr>
  </w:style>
  <w:style w:type="character" w:customStyle="1" w:styleId="HeaderChar">
    <w:name w:val="Header Char"/>
    <w:basedOn w:val="DefaultParagraphFont"/>
    <w:link w:val="Header"/>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BodyTextIndent3">
    <w:name w:val="Body Text Indent 3"/>
    <w:basedOn w:val="Normal"/>
    <w:link w:val="BodyTextIndent3Char"/>
    <w:rsid w:val="006D3390"/>
    <w:pPr>
      <w:ind w:start="14.15pt"/>
    </w:pPr>
    <w:rPr>
      <w:sz w:val="16"/>
      <w:szCs w:val="16"/>
    </w:rPr>
  </w:style>
  <w:style w:type="character" w:customStyle="1" w:styleId="BodyTextIndent3Char">
    <w:name w:val="Body Text Indent 3 Char"/>
    <w:basedOn w:val="DefaultParagraphFont"/>
    <w:link w:val="BodyTextIndent3"/>
    <w:rsid w:val="006D3390"/>
    <w:rPr>
      <w:sz w:val="16"/>
      <w:szCs w:val="16"/>
    </w:rPr>
  </w:style>
  <w:style w:type="character" w:styleId="Hyperlink">
    <w:name w:val="Hyperlink"/>
    <w:basedOn w:val="DefaultParagraphFont"/>
    <w:uiPriority w:val="99"/>
    <w:rsid w:val="00C32BAE"/>
    <w:rPr>
      <w:color w:val="0563C1" w:themeColor="hyperlink"/>
      <w:u w:val="single"/>
    </w:rPr>
  </w:style>
  <w:style w:type="character" w:customStyle="1" w:styleId="UnresolvedMention1">
    <w:name w:val="Unresolved Mention1"/>
    <w:basedOn w:val="DefaultParagraphFont"/>
    <w:uiPriority w:val="99"/>
    <w:semiHidden/>
    <w:unhideWhenUsed/>
    <w:rsid w:val="00C32BAE"/>
    <w:rPr>
      <w:color w:val="605E5C"/>
      <w:shd w:val="clear" w:color="auto" w:fill="E1DFDD"/>
    </w:rPr>
  </w:style>
  <w:style w:type="paragraph" w:styleId="BodyText2">
    <w:name w:val="Body Text 2"/>
    <w:basedOn w:val="Normal"/>
    <w:link w:val="BodyText2Char"/>
    <w:rsid w:val="00C17554"/>
    <w:pPr>
      <w:spacing w:line="24pt" w:lineRule="auto"/>
    </w:pPr>
  </w:style>
  <w:style w:type="character" w:customStyle="1" w:styleId="BodyText2Char">
    <w:name w:val="Body Text 2 Char"/>
    <w:basedOn w:val="DefaultParagraphFont"/>
    <w:link w:val="BodyText2"/>
    <w:rsid w:val="00C17554"/>
  </w:style>
  <w:style w:type="paragraph" w:styleId="Caption">
    <w:name w:val="caption"/>
    <w:basedOn w:val="Normal"/>
    <w:next w:val="Normal"/>
    <w:unhideWhenUsed/>
    <w:qFormat/>
    <w:rsid w:val="00F57FE3"/>
    <w:pPr>
      <w:spacing w:after="10pt"/>
    </w:pPr>
    <w:rPr>
      <w:i/>
      <w:iCs/>
      <w:color w:val="44546A" w:themeColor="text2"/>
      <w:sz w:val="18"/>
      <w:szCs w:val="18"/>
    </w:rPr>
  </w:style>
  <w:style w:type="paragraph" w:styleId="BalloonText">
    <w:name w:val="Balloon Text"/>
    <w:basedOn w:val="Normal"/>
    <w:link w:val="BalloonTextChar"/>
    <w:rsid w:val="00B1587C"/>
    <w:rPr>
      <w:sz w:val="18"/>
      <w:szCs w:val="18"/>
    </w:rPr>
  </w:style>
  <w:style w:type="character" w:customStyle="1" w:styleId="BalloonTextChar">
    <w:name w:val="Balloon Text Char"/>
    <w:basedOn w:val="DefaultParagraphFont"/>
    <w:link w:val="BalloonText"/>
    <w:rsid w:val="00B1587C"/>
    <w:rPr>
      <w:sz w:val="18"/>
      <w:szCs w:val="18"/>
    </w:rPr>
  </w:style>
  <w:style w:type="character" w:customStyle="1" w:styleId="Heading5Char">
    <w:name w:val="Heading 5 Char"/>
    <w:basedOn w:val="DefaultParagraphFont"/>
    <w:link w:val="Heading5"/>
    <w:rsid w:val="00C57A65"/>
    <w:rPr>
      <w:smallCaps/>
      <w:noProof/>
    </w:rPr>
  </w:style>
  <w:style w:type="paragraph" w:styleId="Title">
    <w:name w:val="Title"/>
    <w:basedOn w:val="papertitle"/>
    <w:next w:val="Normal"/>
    <w:link w:val="TitleChar"/>
    <w:qFormat/>
    <w:rsid w:val="000652EF"/>
    <w:pPr>
      <w:spacing w:before="5pt" w:beforeAutospacing="1" w:after="5pt" w:afterAutospacing="1"/>
    </w:pPr>
  </w:style>
  <w:style w:type="character" w:customStyle="1" w:styleId="TitleChar">
    <w:name w:val="Title Char"/>
    <w:basedOn w:val="DefaultParagraphFont"/>
    <w:link w:val="Title"/>
    <w:rsid w:val="000652EF"/>
    <w:rPr>
      <w:rFonts w:eastAsia="MS Mincho"/>
      <w:noProof/>
      <w:sz w:val="48"/>
      <w:szCs w:val="48"/>
    </w:rPr>
  </w:style>
  <w:style w:type="paragraph" w:styleId="Subtitle">
    <w:name w:val="Subtitle"/>
    <w:basedOn w:val="Author"/>
    <w:next w:val="Normal"/>
    <w:link w:val="SubtitleChar"/>
    <w:qFormat/>
    <w:rsid w:val="000652EF"/>
    <w:pPr>
      <w:numPr>
        <w:numId w:val="26"/>
      </w:numPr>
      <w:spacing w:before="5pt" w:beforeAutospacing="1" w:after="12pt"/>
    </w:pPr>
    <w:rPr>
      <w:sz w:val="24"/>
      <w:szCs w:val="18"/>
    </w:rPr>
  </w:style>
  <w:style w:type="character" w:customStyle="1" w:styleId="SubtitleChar">
    <w:name w:val="Subtitle Char"/>
    <w:basedOn w:val="DefaultParagraphFont"/>
    <w:link w:val="Subtitle"/>
    <w:rsid w:val="000652EF"/>
    <w:rPr>
      <w:noProof/>
      <w:sz w:val="24"/>
      <w:szCs w:val="18"/>
    </w:rPr>
  </w:style>
  <w:style w:type="character" w:customStyle="1" w:styleId="acopre">
    <w:name w:val="acopre"/>
    <w:basedOn w:val="DefaultParagraphFont"/>
    <w:rsid w:val="008F29FE"/>
  </w:style>
  <w:style w:type="character" w:styleId="UnresolvedMention">
    <w:name w:val="Unresolved Mention"/>
    <w:basedOn w:val="DefaultParagraphFont"/>
    <w:uiPriority w:val="99"/>
    <w:semiHidden/>
    <w:unhideWhenUsed/>
    <w:rsid w:val="004B3A3D"/>
    <w:rPr>
      <w:color w:val="605E5C"/>
      <w:shd w:val="clear" w:color="auto" w:fill="E1DFDD"/>
    </w:rPr>
  </w:style>
  <w:style w:type="character" w:styleId="FollowedHyperlink">
    <w:name w:val="FollowedHyperlink"/>
    <w:basedOn w:val="DefaultParagraphFont"/>
    <w:rsid w:val="00C127CC"/>
    <w:rPr>
      <w:color w:val="954F72" w:themeColor="followedHyperlink"/>
      <w:u w:val="single"/>
    </w:rPr>
  </w:style>
  <w:style w:type="character" w:customStyle="1" w:styleId="Heading2Char">
    <w:name w:val="Heading 2 Char"/>
    <w:basedOn w:val="DefaultParagraphFont"/>
    <w:link w:val="Heading2"/>
    <w:rsid w:val="000A310D"/>
    <w:rPr>
      <w:i/>
      <w:iCs/>
      <w:noProof/>
      <w:spacing w:val="-1"/>
      <w:lang w:eastAsia="x-none"/>
    </w:rPr>
  </w:style>
  <w:style w:type="character" w:customStyle="1" w:styleId="Heading1Char">
    <w:name w:val="Heading 1 Char"/>
    <w:basedOn w:val="DefaultParagraphFont"/>
    <w:link w:val="Heading1"/>
    <w:rsid w:val="008E4770"/>
    <w:rPr>
      <w:smallCaps/>
      <w:noProof/>
      <w:spacing w:val="-1"/>
      <w:lang w:eastAsia="x-none"/>
    </w:rPr>
  </w:style>
  <w:style w:type="table" w:styleId="TableGrid">
    <w:name w:val="Table Grid"/>
    <w:basedOn w:val="TableNormal"/>
    <w:rsid w:val="00094A1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efault">
    <w:name w:val="Default"/>
    <w:rsid w:val="00120DE1"/>
    <w:pPr>
      <w:autoSpaceDE w:val="0"/>
      <w:autoSpaceDN w:val="0"/>
      <w:adjustRightInd w:val="0"/>
    </w:pPr>
    <w:rPr>
      <w:color w:val="000000"/>
      <w:sz w:val="24"/>
      <w:szCs w:val="24"/>
    </w:rPr>
  </w:style>
  <w:style w:type="paragraph" w:styleId="ListParagraph">
    <w:name w:val="List Paragraph"/>
    <w:basedOn w:val="Normal"/>
    <w:uiPriority w:val="34"/>
    <w:qFormat/>
    <w:rsid w:val="00884AA8"/>
    <w:pPr>
      <w:ind w:start="36pt"/>
      <w:contextualSpacing/>
    </w:pPr>
  </w:style>
  <w:style w:type="character" w:styleId="Emphasis">
    <w:name w:val="Emphasis"/>
    <w:basedOn w:val="DefaultParagraphFont"/>
    <w:uiPriority w:val="20"/>
    <w:qFormat/>
    <w:rsid w:val="00BD4AB2"/>
    <w:rPr>
      <w:i/>
      <w:iCs/>
    </w:rPr>
  </w:style>
  <w:style w:type="character" w:customStyle="1" w:styleId="normaltextrun">
    <w:name w:val="normaltextrun"/>
    <w:basedOn w:val="DefaultParagraphFont"/>
    <w:rsid w:val="009B3DC0"/>
  </w:style>
  <w:style w:type="character" w:styleId="CommentReference">
    <w:name w:val="annotation reference"/>
    <w:basedOn w:val="DefaultParagraphFont"/>
    <w:rsid w:val="004B0A04"/>
    <w:rPr>
      <w:sz w:val="16"/>
      <w:szCs w:val="16"/>
    </w:rPr>
  </w:style>
  <w:style w:type="paragraph" w:styleId="CommentText">
    <w:name w:val="annotation text"/>
    <w:basedOn w:val="Normal"/>
    <w:link w:val="CommentTextChar"/>
    <w:rsid w:val="004B0A04"/>
    <w:pPr>
      <w:spacing w:line="12pt" w:lineRule="auto"/>
    </w:pPr>
  </w:style>
  <w:style w:type="character" w:customStyle="1" w:styleId="CommentTextChar">
    <w:name w:val="Comment Text Char"/>
    <w:basedOn w:val="DefaultParagraphFont"/>
    <w:link w:val="CommentText"/>
    <w:rsid w:val="004B0A04"/>
    <w:rPr>
      <w:spacing w:val="-1"/>
      <w:lang w:eastAsia="x-none"/>
    </w:rPr>
  </w:style>
  <w:style w:type="paragraph" w:styleId="CommentSubject">
    <w:name w:val="annotation subject"/>
    <w:basedOn w:val="CommentText"/>
    <w:next w:val="CommentText"/>
    <w:link w:val="CommentSubjectChar"/>
    <w:semiHidden/>
    <w:unhideWhenUsed/>
    <w:rsid w:val="004B0A04"/>
    <w:rPr>
      <w:b/>
      <w:bCs/>
    </w:rPr>
  </w:style>
  <w:style w:type="character" w:customStyle="1" w:styleId="CommentSubjectChar">
    <w:name w:val="Comment Subject Char"/>
    <w:basedOn w:val="CommentTextChar"/>
    <w:link w:val="CommentSubject"/>
    <w:semiHidden/>
    <w:rsid w:val="004B0A04"/>
    <w:rPr>
      <w:b/>
      <w:bCs/>
      <w:spacing w:val="-1"/>
      <w:lang w:eastAsia="x-none"/>
    </w:rPr>
  </w:style>
  <w:style w:type="paragraph" w:styleId="Revision">
    <w:name w:val="Revision"/>
    <w:hidden/>
    <w:uiPriority w:val="99"/>
    <w:semiHidden/>
    <w:rsid w:val="00E61D0D"/>
    <w:rPr>
      <w:spacing w:val="-1"/>
      <w:lang w:eastAsia="x-none"/>
    </w:rPr>
  </w:style>
  <w:style w:type="character" w:styleId="PlaceholderText">
    <w:name w:val="Placeholder Text"/>
    <w:basedOn w:val="DefaultParagraphFont"/>
    <w:uiPriority w:val="99"/>
    <w:semiHidden/>
    <w:rsid w:val="008F5908"/>
    <w:rPr>
      <w:color w:val="808080"/>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238355">
      <w:bodyDiv w:val="1"/>
      <w:marLeft w:val="0pt"/>
      <w:marRight w:val="0pt"/>
      <w:marTop w:val="0pt"/>
      <w:marBottom w:val="0pt"/>
      <w:divBdr>
        <w:top w:val="none" w:sz="0" w:space="0" w:color="auto"/>
        <w:left w:val="none" w:sz="0" w:space="0" w:color="auto"/>
        <w:bottom w:val="none" w:sz="0" w:space="0" w:color="auto"/>
        <w:right w:val="none" w:sz="0" w:space="0" w:color="auto"/>
      </w:divBdr>
    </w:div>
    <w:div w:id="49545788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35408945">
          <w:marLeft w:val="0pt"/>
          <w:marRight w:val="0pt"/>
          <w:marTop w:val="0pt"/>
          <w:marBottom w:val="0pt"/>
          <w:divBdr>
            <w:top w:val="none" w:sz="0" w:space="0" w:color="auto"/>
            <w:left w:val="none" w:sz="0" w:space="0" w:color="auto"/>
            <w:bottom w:val="none" w:sz="0" w:space="0" w:color="auto"/>
            <w:right w:val="none" w:sz="0" w:space="0" w:color="auto"/>
          </w:divBdr>
          <w:divsChild>
            <w:div w:id="457652793">
              <w:marLeft w:val="0pt"/>
              <w:marRight w:val="0pt"/>
              <w:marTop w:val="0pt"/>
              <w:marBottom w:val="0pt"/>
              <w:divBdr>
                <w:top w:val="none" w:sz="0" w:space="0" w:color="auto"/>
                <w:left w:val="none" w:sz="0" w:space="0" w:color="auto"/>
                <w:bottom w:val="none" w:sz="0" w:space="0" w:color="auto"/>
                <w:right w:val="none" w:sz="0" w:space="0" w:color="auto"/>
              </w:divBdr>
              <w:divsChild>
                <w:div w:id="1682462650">
                  <w:marLeft w:val="0pt"/>
                  <w:marRight w:val="0pt"/>
                  <w:marTop w:val="0pt"/>
                  <w:marBottom w:val="0pt"/>
                  <w:divBdr>
                    <w:top w:val="none" w:sz="0" w:space="0" w:color="auto"/>
                    <w:left w:val="none" w:sz="0" w:space="0" w:color="auto"/>
                    <w:bottom w:val="none" w:sz="0" w:space="0" w:color="auto"/>
                    <w:right w:val="none" w:sz="0" w:space="0" w:color="auto"/>
                  </w:divBdr>
                  <w:divsChild>
                    <w:div w:id="22094960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5121156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81114855">
          <w:marLeft w:val="0pt"/>
          <w:marRight w:val="0pt"/>
          <w:marTop w:val="0pt"/>
          <w:marBottom w:val="0pt"/>
          <w:divBdr>
            <w:top w:val="none" w:sz="0" w:space="0" w:color="auto"/>
            <w:left w:val="none" w:sz="0" w:space="0" w:color="auto"/>
            <w:bottom w:val="none" w:sz="0" w:space="0" w:color="auto"/>
            <w:right w:val="none" w:sz="0" w:space="0" w:color="auto"/>
          </w:divBdr>
          <w:divsChild>
            <w:div w:id="13459715">
              <w:marLeft w:val="0pt"/>
              <w:marRight w:val="0pt"/>
              <w:marTop w:val="0pt"/>
              <w:marBottom w:val="0pt"/>
              <w:divBdr>
                <w:top w:val="none" w:sz="0" w:space="0" w:color="auto"/>
                <w:left w:val="none" w:sz="0" w:space="0" w:color="auto"/>
                <w:bottom w:val="none" w:sz="0" w:space="0" w:color="auto"/>
                <w:right w:val="none" w:sz="0" w:space="0" w:color="auto"/>
              </w:divBdr>
              <w:divsChild>
                <w:div w:id="1548302477">
                  <w:marLeft w:val="0pt"/>
                  <w:marRight w:val="0pt"/>
                  <w:marTop w:val="0pt"/>
                  <w:marBottom w:val="0pt"/>
                  <w:divBdr>
                    <w:top w:val="none" w:sz="0" w:space="0" w:color="auto"/>
                    <w:left w:val="none" w:sz="0" w:space="0" w:color="auto"/>
                    <w:bottom w:val="none" w:sz="0" w:space="0" w:color="auto"/>
                    <w:right w:val="none" w:sz="0" w:space="0" w:color="auto"/>
                  </w:divBdr>
                  <w:divsChild>
                    <w:div w:id="43745300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540174529">
      <w:bodyDiv w:val="1"/>
      <w:marLeft w:val="0pt"/>
      <w:marRight w:val="0pt"/>
      <w:marTop w:val="0pt"/>
      <w:marBottom w:val="0pt"/>
      <w:divBdr>
        <w:top w:val="none" w:sz="0" w:space="0" w:color="auto"/>
        <w:left w:val="none" w:sz="0" w:space="0" w:color="auto"/>
        <w:bottom w:val="none" w:sz="0" w:space="0" w:color="auto"/>
        <w:right w:val="none" w:sz="0" w:space="0" w:color="auto"/>
      </w:divBdr>
    </w:div>
    <w:div w:id="7724820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50336643">
          <w:marLeft w:val="0pt"/>
          <w:marRight w:val="0pt"/>
          <w:marTop w:val="0pt"/>
          <w:marBottom w:val="0pt"/>
          <w:divBdr>
            <w:top w:val="none" w:sz="0" w:space="0" w:color="auto"/>
            <w:left w:val="none" w:sz="0" w:space="0" w:color="auto"/>
            <w:bottom w:val="none" w:sz="0" w:space="0" w:color="auto"/>
            <w:right w:val="none" w:sz="0" w:space="0" w:color="auto"/>
          </w:divBdr>
          <w:divsChild>
            <w:div w:id="278415040">
              <w:marLeft w:val="0pt"/>
              <w:marRight w:val="0pt"/>
              <w:marTop w:val="0pt"/>
              <w:marBottom w:val="0pt"/>
              <w:divBdr>
                <w:top w:val="none" w:sz="0" w:space="0" w:color="auto"/>
                <w:left w:val="none" w:sz="0" w:space="0" w:color="auto"/>
                <w:bottom w:val="none" w:sz="0" w:space="0" w:color="auto"/>
                <w:right w:val="none" w:sz="0" w:space="0" w:color="auto"/>
              </w:divBdr>
              <w:divsChild>
                <w:div w:id="42292674">
                  <w:marLeft w:val="0pt"/>
                  <w:marRight w:val="0pt"/>
                  <w:marTop w:val="0pt"/>
                  <w:marBottom w:val="0pt"/>
                  <w:divBdr>
                    <w:top w:val="none" w:sz="0" w:space="0" w:color="auto"/>
                    <w:left w:val="none" w:sz="0" w:space="0" w:color="auto"/>
                    <w:bottom w:val="none" w:sz="0" w:space="0" w:color="auto"/>
                    <w:right w:val="none" w:sz="0" w:space="0" w:color="auto"/>
                  </w:divBdr>
                  <w:divsChild>
                    <w:div w:id="70051633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9361368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60520857">
          <w:marLeft w:val="0pt"/>
          <w:marRight w:val="0pt"/>
          <w:marTop w:val="0pt"/>
          <w:marBottom w:val="0pt"/>
          <w:divBdr>
            <w:top w:val="none" w:sz="0" w:space="0" w:color="auto"/>
            <w:left w:val="none" w:sz="0" w:space="0" w:color="auto"/>
            <w:bottom w:val="none" w:sz="0" w:space="0" w:color="auto"/>
            <w:right w:val="none" w:sz="0" w:space="0" w:color="auto"/>
          </w:divBdr>
          <w:divsChild>
            <w:div w:id="1875655458">
              <w:marLeft w:val="0pt"/>
              <w:marRight w:val="0pt"/>
              <w:marTop w:val="0pt"/>
              <w:marBottom w:val="0pt"/>
              <w:divBdr>
                <w:top w:val="none" w:sz="0" w:space="0" w:color="auto"/>
                <w:left w:val="none" w:sz="0" w:space="0" w:color="auto"/>
                <w:bottom w:val="none" w:sz="0" w:space="0" w:color="auto"/>
                <w:right w:val="none" w:sz="0" w:space="0" w:color="auto"/>
              </w:divBdr>
              <w:divsChild>
                <w:div w:id="2089769626">
                  <w:marLeft w:val="0pt"/>
                  <w:marRight w:val="0pt"/>
                  <w:marTop w:val="0pt"/>
                  <w:marBottom w:val="0pt"/>
                  <w:divBdr>
                    <w:top w:val="none" w:sz="0" w:space="0" w:color="auto"/>
                    <w:left w:val="none" w:sz="0" w:space="0" w:color="auto"/>
                    <w:bottom w:val="none" w:sz="0" w:space="0" w:color="auto"/>
                    <w:right w:val="none" w:sz="0" w:space="0" w:color="auto"/>
                  </w:divBdr>
                  <w:divsChild>
                    <w:div w:id="136559816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143081443">
      <w:bodyDiv w:val="1"/>
      <w:marLeft w:val="0pt"/>
      <w:marRight w:val="0pt"/>
      <w:marTop w:val="0pt"/>
      <w:marBottom w:val="0pt"/>
      <w:divBdr>
        <w:top w:val="none" w:sz="0" w:space="0" w:color="auto"/>
        <w:left w:val="none" w:sz="0" w:space="0" w:color="auto"/>
        <w:bottom w:val="none" w:sz="0" w:space="0" w:color="auto"/>
        <w:right w:val="none" w:sz="0" w:space="0" w:color="auto"/>
      </w:divBdr>
    </w:div>
    <w:div w:id="121284025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4263631">
          <w:marLeft w:val="0pt"/>
          <w:marRight w:val="0pt"/>
          <w:marTop w:val="0pt"/>
          <w:marBottom w:val="0pt"/>
          <w:divBdr>
            <w:top w:val="none" w:sz="0" w:space="0" w:color="auto"/>
            <w:left w:val="none" w:sz="0" w:space="0" w:color="auto"/>
            <w:bottom w:val="none" w:sz="0" w:space="0" w:color="auto"/>
            <w:right w:val="none" w:sz="0" w:space="0" w:color="auto"/>
          </w:divBdr>
          <w:divsChild>
            <w:div w:id="1860048732">
              <w:marLeft w:val="0pt"/>
              <w:marRight w:val="0pt"/>
              <w:marTop w:val="0pt"/>
              <w:marBottom w:val="0pt"/>
              <w:divBdr>
                <w:top w:val="none" w:sz="0" w:space="0" w:color="auto"/>
                <w:left w:val="none" w:sz="0" w:space="0" w:color="auto"/>
                <w:bottom w:val="none" w:sz="0" w:space="0" w:color="auto"/>
                <w:right w:val="none" w:sz="0" w:space="0" w:color="auto"/>
              </w:divBdr>
              <w:divsChild>
                <w:div w:id="930702619">
                  <w:marLeft w:val="0pt"/>
                  <w:marRight w:val="0pt"/>
                  <w:marTop w:val="0pt"/>
                  <w:marBottom w:val="0pt"/>
                  <w:divBdr>
                    <w:top w:val="none" w:sz="0" w:space="0" w:color="auto"/>
                    <w:left w:val="none" w:sz="0" w:space="0" w:color="auto"/>
                    <w:bottom w:val="none" w:sz="0" w:space="0" w:color="auto"/>
                    <w:right w:val="none" w:sz="0" w:space="0" w:color="auto"/>
                  </w:divBdr>
                  <w:divsChild>
                    <w:div w:id="165040523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417822660">
      <w:bodyDiv w:val="1"/>
      <w:marLeft w:val="0pt"/>
      <w:marRight w:val="0pt"/>
      <w:marTop w:val="0pt"/>
      <w:marBottom w:val="0pt"/>
      <w:divBdr>
        <w:top w:val="none" w:sz="0" w:space="0" w:color="auto"/>
        <w:left w:val="none" w:sz="0" w:space="0" w:color="auto"/>
        <w:bottom w:val="none" w:sz="0" w:space="0" w:color="auto"/>
        <w:right w:val="none" w:sz="0" w:space="0" w:color="auto"/>
      </w:divBdr>
    </w:div>
    <w:div w:id="1480729957">
      <w:bodyDiv w:val="1"/>
      <w:marLeft w:val="0pt"/>
      <w:marRight w:val="0pt"/>
      <w:marTop w:val="0pt"/>
      <w:marBottom w:val="0pt"/>
      <w:divBdr>
        <w:top w:val="none" w:sz="0" w:space="0" w:color="auto"/>
        <w:left w:val="none" w:sz="0" w:space="0" w:color="auto"/>
        <w:bottom w:val="none" w:sz="0" w:space="0" w:color="auto"/>
        <w:right w:val="none" w:sz="0" w:space="0" w:color="auto"/>
      </w:divBdr>
    </w:div>
    <w:div w:id="176248922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76894777">
          <w:marLeft w:val="0pt"/>
          <w:marRight w:val="0pt"/>
          <w:marTop w:val="0pt"/>
          <w:marBottom w:val="0pt"/>
          <w:divBdr>
            <w:top w:val="none" w:sz="0" w:space="0" w:color="auto"/>
            <w:left w:val="none" w:sz="0" w:space="0" w:color="auto"/>
            <w:bottom w:val="none" w:sz="0" w:space="0" w:color="auto"/>
            <w:right w:val="none" w:sz="0" w:space="0" w:color="auto"/>
          </w:divBdr>
          <w:divsChild>
            <w:div w:id="114763326">
              <w:marLeft w:val="0pt"/>
              <w:marRight w:val="0pt"/>
              <w:marTop w:val="0pt"/>
              <w:marBottom w:val="0pt"/>
              <w:divBdr>
                <w:top w:val="none" w:sz="0" w:space="0" w:color="auto"/>
                <w:left w:val="none" w:sz="0" w:space="0" w:color="auto"/>
                <w:bottom w:val="none" w:sz="0" w:space="0" w:color="auto"/>
                <w:right w:val="none" w:sz="0" w:space="0" w:color="auto"/>
              </w:divBdr>
              <w:divsChild>
                <w:div w:id="1404912495">
                  <w:marLeft w:val="0pt"/>
                  <w:marRight w:val="0pt"/>
                  <w:marTop w:val="0pt"/>
                  <w:marBottom w:val="0pt"/>
                  <w:divBdr>
                    <w:top w:val="none" w:sz="0" w:space="0" w:color="auto"/>
                    <w:left w:val="none" w:sz="0" w:space="0" w:color="auto"/>
                    <w:bottom w:val="none" w:sz="0" w:space="0" w:color="auto"/>
                    <w:right w:val="none" w:sz="0" w:space="0" w:color="auto"/>
                  </w:divBdr>
                  <w:divsChild>
                    <w:div w:id="131433178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8234282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52961304">
          <w:marLeft w:val="0pt"/>
          <w:marRight w:val="0pt"/>
          <w:marTop w:val="0pt"/>
          <w:marBottom w:val="0pt"/>
          <w:divBdr>
            <w:top w:val="none" w:sz="0" w:space="0" w:color="auto"/>
            <w:left w:val="none" w:sz="0" w:space="0" w:color="auto"/>
            <w:bottom w:val="none" w:sz="0" w:space="0" w:color="auto"/>
            <w:right w:val="none" w:sz="0" w:space="0" w:color="auto"/>
          </w:divBdr>
          <w:divsChild>
            <w:div w:id="1107432308">
              <w:marLeft w:val="0pt"/>
              <w:marRight w:val="0pt"/>
              <w:marTop w:val="0pt"/>
              <w:marBottom w:val="0pt"/>
              <w:divBdr>
                <w:top w:val="none" w:sz="0" w:space="0" w:color="auto"/>
                <w:left w:val="none" w:sz="0" w:space="0" w:color="auto"/>
                <w:bottom w:val="none" w:sz="0" w:space="0" w:color="auto"/>
                <w:right w:val="none" w:sz="0" w:space="0" w:color="auto"/>
              </w:divBdr>
              <w:divsChild>
                <w:div w:id="1477913384">
                  <w:marLeft w:val="0pt"/>
                  <w:marRight w:val="0pt"/>
                  <w:marTop w:val="0pt"/>
                  <w:marBottom w:val="0pt"/>
                  <w:divBdr>
                    <w:top w:val="none" w:sz="0" w:space="0" w:color="auto"/>
                    <w:left w:val="none" w:sz="0" w:space="0" w:color="auto"/>
                    <w:bottom w:val="none" w:sz="0" w:space="0" w:color="auto"/>
                    <w:right w:val="none" w:sz="0" w:space="0" w:color="auto"/>
                  </w:divBdr>
                  <w:divsChild>
                    <w:div w:id="187387769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9947201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4978571">
          <w:marLeft w:val="0pt"/>
          <w:marRight w:val="0pt"/>
          <w:marTop w:val="0pt"/>
          <w:marBottom w:val="0pt"/>
          <w:divBdr>
            <w:top w:val="none" w:sz="0" w:space="0" w:color="auto"/>
            <w:left w:val="none" w:sz="0" w:space="0" w:color="auto"/>
            <w:bottom w:val="none" w:sz="0" w:space="0" w:color="auto"/>
            <w:right w:val="none" w:sz="0" w:space="0" w:color="auto"/>
          </w:divBdr>
          <w:divsChild>
            <w:div w:id="648439780">
              <w:marLeft w:val="0pt"/>
              <w:marRight w:val="0pt"/>
              <w:marTop w:val="0pt"/>
              <w:marBottom w:val="0pt"/>
              <w:divBdr>
                <w:top w:val="none" w:sz="0" w:space="0" w:color="auto"/>
                <w:left w:val="none" w:sz="0" w:space="0" w:color="auto"/>
                <w:bottom w:val="none" w:sz="0" w:space="0" w:color="auto"/>
                <w:right w:val="none" w:sz="0" w:space="0" w:color="auto"/>
              </w:divBdr>
              <w:divsChild>
                <w:div w:id="855382853">
                  <w:marLeft w:val="0pt"/>
                  <w:marRight w:val="0pt"/>
                  <w:marTop w:val="0pt"/>
                  <w:marBottom w:val="0pt"/>
                  <w:divBdr>
                    <w:top w:val="none" w:sz="0" w:space="0" w:color="auto"/>
                    <w:left w:val="none" w:sz="0" w:space="0" w:color="auto"/>
                    <w:bottom w:val="none" w:sz="0" w:space="0" w:color="auto"/>
                    <w:right w:val="none" w:sz="0" w:space="0" w:color="auto"/>
                  </w:divBdr>
                  <w:divsChild>
                    <w:div w:id="174031988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2111074105">
      <w:bodyDiv w:val="1"/>
      <w:marLeft w:val="0pt"/>
      <w:marRight w:val="0pt"/>
      <w:marTop w:val="0pt"/>
      <w:marBottom w:val="0pt"/>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purl.oclc.org/ooxml/officeDocument/relationships/footer" Target="footer3.xml"/><Relationship Id="rId18" Type="http://purl.oclc.org/ooxml/officeDocument/relationships/image" Target="media/image5.png"/><Relationship Id="rId26" Type="http://purl.oclc.org/ooxml/officeDocument/relationships/hyperlink" Target="https://doi.org/10.2172/10169141" TargetMode="External"/><Relationship Id="rId39" Type="http://purl.oclc.org/ooxml/officeDocument/relationships/hyperlink" Target="https://doi.org/10.1016/j.solener.2018.04.030" TargetMode="External"/><Relationship Id="rId21" Type="http://purl.oclc.org/ooxml/officeDocument/relationships/image" Target="media/image8.png"/><Relationship Id="rId34" Type="http://purl.oclc.org/ooxml/officeDocument/relationships/hyperlink" Target="https://doi.org/10.1016/j.joule.2020.07.007" TargetMode="External"/><Relationship Id="rId42" Type="http://purl.oclc.org/ooxml/officeDocument/relationships/hyperlink" Target="https://sam.nrel.gov/" TargetMode="External"/><Relationship Id="rId47" Type="http://purl.oclc.org/ooxml/officeDocument/relationships/hyperlink" Target="https://doi.org/10.1016/j.joule.2021.09.003" TargetMode="External"/><Relationship Id="rId7" Type="http://purl.oclc.org/ooxml/officeDocument/relationships/endnotes" Target="endnotes.xml"/><Relationship Id="rId2" Type="http://purl.oclc.org/ooxml/officeDocument/relationships/numbering" Target="numbering.xml"/><Relationship Id="rId16" Type="http://purl.oclc.org/ooxml/officeDocument/relationships/image" Target="media/image3.png"/><Relationship Id="rId29" Type="http://purl.oclc.org/ooxml/officeDocument/relationships/hyperlink" Target="https://www.nrel.gov/docs/fy21osti/78195.pdf" TargetMode="External"/><Relationship Id="rId11" Type="http://purl.oclc.org/ooxml/officeDocument/relationships/footer" Target="footer2.xml"/><Relationship Id="rId24" Type="http://purl.oclc.org/ooxml/officeDocument/relationships/hyperlink" Target="https://www.energy.ca.gov/publications/2021/2021-sb-100-joint-agency-report-achieving-100-percent-clean-electricity" TargetMode="External"/><Relationship Id="rId32" Type="http://purl.oclc.org/ooxml/officeDocument/relationships/hyperlink" Target="https://doi.org/10.1016/j.renene.2021.07.115" TargetMode="External"/><Relationship Id="rId37" Type="http://purl.oclc.org/ooxml/officeDocument/relationships/hyperlink" Target="https://doi.org/10.1016/j.joule.2019.06.012" TargetMode="External"/><Relationship Id="rId40" Type="http://purl.oclc.org/ooxml/officeDocument/relationships/hyperlink" Target="http://dx.doi.org/10.4229/25thEUPVSEC2010-4BV.1.93" TargetMode="External"/><Relationship Id="rId45" Type="http://purl.oclc.org/ooxml/officeDocument/relationships/hyperlink" Target="https://doi.org/10.1016/j.rser.2018.03.003" TargetMode="External"/><Relationship Id="rId5" Type="http://purl.oclc.org/ooxml/officeDocument/relationships/webSettings" Target="webSettings.xml"/><Relationship Id="rId15" Type="http://purl.oclc.org/ooxml/officeDocument/relationships/image" Target="media/image2.png"/><Relationship Id="rId23" Type="http://purl.oclc.org/ooxml/officeDocument/relationships/image" Target="media/image10.png"/><Relationship Id="rId28" Type="http://purl.oclc.org/ooxml/officeDocument/relationships/hyperlink" Target="https://doi.org/10.1016/j.tej.2021.106925" TargetMode="External"/><Relationship Id="rId36" Type="http://purl.oclc.org/ooxml/officeDocument/relationships/hyperlink" Target="https://doi.org/10.1016/j.joule.2018.08.006" TargetMode="External"/><Relationship Id="rId49" Type="http://purl.oclc.org/ooxml/officeDocument/relationships/theme" Target="theme/theme1.xml"/><Relationship Id="rId10" Type="http://purl.oclc.org/ooxml/officeDocument/relationships/footer" Target="footer1.xml"/><Relationship Id="rId19" Type="http://purl.oclc.org/ooxml/officeDocument/relationships/image" Target="media/image6.png"/><Relationship Id="rId31" Type="http://purl.oclc.org/ooxml/officeDocument/relationships/hyperlink" Target="https://doi.org/10.1016/j.joule.2021.05.011" TargetMode="External"/><Relationship Id="rId44" Type="http://purl.oclc.org/ooxml/officeDocument/relationships/hyperlink" Target="https://ww2.energy.ca.gov/almanac/renewables_data/solar/index_cms.php" TargetMode="External"/><Relationship Id="rId4" Type="http://purl.oclc.org/ooxml/officeDocument/relationships/settings" Target="settings.xml"/><Relationship Id="rId9" Type="http://purl.oclc.org/ooxml/officeDocument/relationships/header" Target="header2.xml"/><Relationship Id="rId14" Type="http://purl.oclc.org/ooxml/officeDocument/relationships/image" Target="media/image1.png"/><Relationship Id="rId22" Type="http://purl.oclc.org/ooxml/officeDocument/relationships/image" Target="media/image9.png"/><Relationship Id="rId27" Type="http://purl.oclc.org/ooxml/officeDocument/relationships/hyperlink" Target="https://www.cpuc.ca.gov/industries-and-topics/electrical-energy/electric-power-procurement/long-term-procurement-planning/2019-20-irp-events-and-materials" TargetMode="External"/><Relationship Id="rId30" Type="http://purl.oclc.org/ooxml/officeDocument/relationships/hyperlink" Target="https://www.nrel.gov/docs/fy20osti/73336.pdf" TargetMode="External"/><Relationship Id="rId35" Type="http://purl.oclc.org/ooxml/officeDocument/relationships/hyperlink" Target="http://dx.doi.org/10.1016/j.jpowsour.2012.09.054" TargetMode="External"/><Relationship Id="rId43" Type="http://purl.oclc.org/ooxml/officeDocument/relationships/hyperlink" Target="https://azsolarcenter.org/pv-row-to-row-spacing" TargetMode="External"/><Relationship Id="rId48" Type="http://purl.oclc.org/ooxml/officeDocument/relationships/fontTable" Target="fontTable.xml"/><Relationship Id="rId8" Type="http://purl.oclc.org/ooxml/officeDocument/relationships/header" Target="header1.xml"/><Relationship Id="rId3" Type="http://purl.oclc.org/ooxml/officeDocument/relationships/styles" Target="styles.xml"/><Relationship Id="rId12" Type="http://purl.oclc.org/ooxml/officeDocument/relationships/header" Target="header3.xml"/><Relationship Id="rId17" Type="http://purl.oclc.org/ooxml/officeDocument/relationships/image" Target="media/image4.png"/><Relationship Id="rId25" Type="http://purl.oclc.org/ooxml/officeDocument/relationships/hyperlink" Target="https://doi.org/10.1016/j.isci.2021.103577" TargetMode="External"/><Relationship Id="rId33" Type="http://purl.oclc.org/ooxml/officeDocument/relationships/hyperlink" Target="http://dx.doi.org/10.1016/j.energy.2016.01.079" TargetMode="External"/><Relationship Id="rId38" Type="http://purl.oclc.org/ooxml/officeDocument/relationships/hyperlink" Target="http://dx.doi.org/10.1016/j.apenergy.2015.10.180" TargetMode="External"/><Relationship Id="rId46" Type="http://purl.oclc.org/ooxml/officeDocument/relationships/hyperlink" Target="https://atb.nrel.gov/electricity/2021/data" TargetMode="External"/><Relationship Id="rId20" Type="http://purl.oclc.org/ooxml/officeDocument/relationships/image" Target="media/image7.png"/><Relationship Id="rId41" Type="http://purl.oclc.org/ooxml/officeDocument/relationships/hyperlink" Target="http://www.caiso.com/informed/Pages/ManagingOversupply.aspx" TargetMode="External"/><Relationship Id="rId1" Type="http://purl.oclc.org/ooxml/officeDocument/relationships/customXml" Target="../customXml/item1.xml"/><Relationship Id="rId6" Type="http://purl.oclc.org/ooxml/officeDocument/relationships/footnotes" Target="footnotes.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6B07A9C4-E516-4AF6-A180-5D557A0EED28}">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90</TotalTime>
  <Pages>11</Pages>
  <Words>7486</Words>
  <Characters>42673</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Optimizing PV to Minimize the Need for Storage</vt:lpstr>
    </vt:vector>
  </TitlesOfParts>
  <Company>IEEE</Company>
  <LinksUpToDate>false</LinksUpToDate>
  <CharactersWithSpaces>50059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Optimizing PV to Minimize the Need for Storage</dc:title>
  <dc:subject/>
  <dc:creator>IEEE</dc:creator>
  <cp:keywords/>
  <dc:description/>
  <cp:lastModifiedBy>Russell Jones</cp:lastModifiedBy>
  <cp:revision>7</cp:revision>
  <cp:lastPrinted>2022-02-10T21:32:00Z</cp:lastPrinted>
  <dcterms:created xsi:type="dcterms:W3CDTF">2022-03-01T05:43:00Z</dcterms:created>
  <dcterms:modified xsi:type="dcterms:W3CDTF">2022-03-01T07:13:00Z</dcterms:modified>
</cp:coreProperties>
</file>